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000" w:firstRow="0" w:lastRow="0" w:firstColumn="0" w:lastColumn="0" w:noHBand="0" w:noVBand="0"/>
      </w:tblPr>
      <w:tblGrid>
        <w:gridCol w:w="1868"/>
        <w:gridCol w:w="7879"/>
      </w:tblGrid>
      <w:tr w:rsidR="007130AF" w:rsidRPr="001F3870" w:rsidTr="004E5FFF">
        <w:tblPrEx>
          <w:tblCellMar>
            <w:top w:w="0" w:type="dxa"/>
            <w:bottom w:w="0" w:type="dxa"/>
          </w:tblCellMar>
        </w:tblPrEx>
        <w:trPr>
          <w:cantSplit/>
          <w:trHeight w:val="142"/>
        </w:trPr>
        <w:tc>
          <w:tcPr>
            <w:tcW w:w="1868" w:type="dxa"/>
            <w:vMerge w:val="restart"/>
          </w:tcPr>
          <w:p w:rsidR="007130AF" w:rsidRPr="001F3870" w:rsidRDefault="00716B14" w:rsidP="00716B14">
            <w:bookmarkStart w:id="0" w:name="_GoBack"/>
            <w:bookmarkEnd w:id="0"/>
            <w:r w:rsidRPr="001F3870">
              <w:drawing>
                <wp:inline distT="0" distB="0" distL="0" distR="0">
                  <wp:extent cx="1050290" cy="612775"/>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50290" cy="612775"/>
                          </a:xfrm>
                          <a:prstGeom prst="rect">
                            <a:avLst/>
                          </a:prstGeom>
                          <a:noFill/>
                          <a:ln>
                            <a:noFill/>
                          </a:ln>
                        </pic:spPr>
                      </pic:pic>
                    </a:graphicData>
                  </a:graphic>
                </wp:inline>
              </w:drawing>
            </w:r>
          </w:p>
        </w:tc>
        <w:tc>
          <w:tcPr>
            <w:tcW w:w="7879" w:type="dxa"/>
          </w:tcPr>
          <w:p w:rsidR="007130AF" w:rsidRPr="0099658A" w:rsidRDefault="007536F2" w:rsidP="007536F2">
            <w:pPr>
              <w:jc w:val="right"/>
            </w:pPr>
            <w:r>
              <w:t>Sayfa 1/2</w:t>
            </w:r>
          </w:p>
        </w:tc>
      </w:tr>
      <w:tr w:rsidR="007130AF" w:rsidRPr="001F3870">
        <w:tblPrEx>
          <w:tblCellMar>
            <w:top w:w="0" w:type="dxa"/>
            <w:bottom w:w="0" w:type="dxa"/>
          </w:tblCellMar>
        </w:tblPrEx>
        <w:trPr>
          <w:cantSplit/>
          <w:trHeight w:val="479"/>
        </w:trPr>
        <w:tc>
          <w:tcPr>
            <w:tcW w:w="1868" w:type="dxa"/>
            <w:vMerge/>
          </w:tcPr>
          <w:p w:rsidR="007130AF" w:rsidRPr="001F3870" w:rsidRDefault="007130AF" w:rsidP="007130AF"/>
        </w:tc>
        <w:tc>
          <w:tcPr>
            <w:tcW w:w="7879" w:type="dxa"/>
          </w:tcPr>
          <w:p w:rsidR="00716B14" w:rsidRPr="00634094" w:rsidRDefault="00716B14" w:rsidP="00634094">
            <w:pPr>
              <w:keepNext/>
              <w:tabs>
                <w:tab w:val="left" w:pos="567"/>
              </w:tabs>
              <w:overflowPunct w:val="0"/>
              <w:adjustRightInd w:val="0"/>
              <w:textAlignment w:val="baseline"/>
              <w:outlineLvl w:val="0"/>
              <w:rPr>
                <w:rFonts w:eastAsia="SimSun"/>
                <w:b/>
                <w:sz w:val="24"/>
                <w:szCs w:val="24"/>
                <w:lang w:val="en-US" w:eastAsia="en-US"/>
              </w:rPr>
            </w:pPr>
            <w:bookmarkStart w:id="1" w:name="_Toc56407686"/>
            <w:r w:rsidRPr="00634094">
              <w:rPr>
                <w:rFonts w:eastAsia="SimSun"/>
                <w:b/>
                <w:sz w:val="24"/>
                <w:szCs w:val="24"/>
                <w:lang w:val="en-US" w:eastAsia="en-US"/>
              </w:rPr>
              <w:t>T</w:t>
            </w:r>
            <w:bookmarkEnd w:id="1"/>
            <w:r w:rsidRPr="00634094">
              <w:rPr>
                <w:rFonts w:eastAsia="SimSun"/>
                <w:b/>
                <w:sz w:val="24"/>
                <w:szCs w:val="24"/>
                <w:lang w:val="en-US" w:eastAsia="en-US"/>
              </w:rPr>
              <w:t>ADİL TASARISI</w:t>
            </w:r>
          </w:p>
          <w:p w:rsidR="00716B14" w:rsidRPr="00716B14" w:rsidRDefault="00716B14" w:rsidP="00C64D39">
            <w:pPr>
              <w:rPr>
                <w:rFonts w:eastAsia="SimSun" w:cs="Arial"/>
                <w:b/>
                <w:bCs/>
                <w:kern w:val="32"/>
                <w:sz w:val="24"/>
                <w:szCs w:val="32"/>
                <w:lang w:val="en-AU" w:eastAsia="zh-CN"/>
              </w:rPr>
            </w:pPr>
            <w:r w:rsidRPr="00634094">
              <w:rPr>
                <w:i/>
              </w:rPr>
              <w:t>DRAFT AMENDMENT</w:t>
            </w:r>
            <w:r w:rsidRPr="00634094">
              <w:rPr>
                <w:rFonts w:eastAsia="SimSun"/>
              </w:rPr>
              <w:t xml:space="preserve"> </w:t>
            </w:r>
          </w:p>
        </w:tc>
      </w:tr>
      <w:tr w:rsidR="007130AF" w:rsidRPr="001F3870">
        <w:tblPrEx>
          <w:tblCellMar>
            <w:top w:w="0" w:type="dxa"/>
            <w:bottom w:w="0" w:type="dxa"/>
          </w:tblCellMar>
        </w:tblPrEx>
        <w:trPr>
          <w:cantSplit/>
          <w:trHeight w:val="242"/>
        </w:trPr>
        <w:tc>
          <w:tcPr>
            <w:tcW w:w="1868" w:type="dxa"/>
            <w:vMerge/>
          </w:tcPr>
          <w:p w:rsidR="007130AF" w:rsidRPr="001F3870" w:rsidRDefault="007130AF" w:rsidP="007130AF"/>
        </w:tc>
        <w:tc>
          <w:tcPr>
            <w:tcW w:w="7879" w:type="dxa"/>
          </w:tcPr>
          <w:p w:rsidR="007130AF" w:rsidRPr="001F3870" w:rsidRDefault="007130AF" w:rsidP="007130AF"/>
        </w:tc>
      </w:tr>
    </w:tbl>
    <w:p w:rsidR="007130AF" w:rsidRPr="001F3870" w:rsidRDefault="007130AF" w:rsidP="007130AF"/>
    <w:tbl>
      <w:tblPr>
        <w:tblW w:w="3739" w:type="dxa"/>
        <w:tblInd w:w="6008" w:type="dxa"/>
        <w:tblLayout w:type="fixed"/>
        <w:tblLook w:val="0000" w:firstRow="0" w:lastRow="0" w:firstColumn="0" w:lastColumn="0" w:noHBand="0" w:noVBand="0"/>
      </w:tblPr>
      <w:tblGrid>
        <w:gridCol w:w="3739"/>
      </w:tblGrid>
      <w:tr w:rsidR="007130AF" w:rsidRPr="00E16A1B">
        <w:tblPrEx>
          <w:tblCellMar>
            <w:top w:w="0" w:type="dxa"/>
            <w:bottom w:w="0" w:type="dxa"/>
          </w:tblCellMar>
        </w:tblPrEx>
        <w:trPr>
          <w:cantSplit/>
          <w:trHeight w:val="281"/>
        </w:trPr>
        <w:tc>
          <w:tcPr>
            <w:tcW w:w="3739" w:type="dxa"/>
          </w:tcPr>
          <w:p w:rsidR="007130AF" w:rsidRPr="00E16A1B" w:rsidRDefault="007130AF" w:rsidP="00723ECD">
            <w:pPr>
              <w:pStyle w:val="Balk5"/>
              <w:spacing w:before="0" w:after="0"/>
              <w:jc w:val="left"/>
              <w:rPr>
                <w:rFonts w:cs="Arial"/>
                <w:i w:val="0"/>
                <w:sz w:val="32"/>
                <w:szCs w:val="32"/>
              </w:rPr>
            </w:pPr>
            <w:r w:rsidRPr="00E16A1B">
              <w:rPr>
                <w:rFonts w:cs="Arial"/>
                <w:i w:val="0"/>
                <w:sz w:val="32"/>
                <w:szCs w:val="32"/>
              </w:rPr>
              <w:t xml:space="preserve">TS </w:t>
            </w:r>
            <w:r w:rsidR="00B934BD" w:rsidRPr="00E16A1B">
              <w:rPr>
                <w:rFonts w:cs="Arial"/>
                <w:i w:val="0"/>
                <w:sz w:val="32"/>
                <w:szCs w:val="32"/>
              </w:rPr>
              <w:t>159</w:t>
            </w:r>
            <w:r w:rsidR="00723ECD" w:rsidRPr="00E16A1B">
              <w:rPr>
                <w:rFonts w:cs="Arial"/>
                <w:i w:val="0"/>
                <w:sz w:val="32"/>
                <w:szCs w:val="32"/>
              </w:rPr>
              <w:t>6</w:t>
            </w:r>
            <w:r w:rsidRPr="00E16A1B">
              <w:rPr>
                <w:rFonts w:cs="Arial"/>
                <w:i w:val="0"/>
                <w:sz w:val="32"/>
                <w:szCs w:val="32"/>
              </w:rPr>
              <w:t>:</w:t>
            </w:r>
            <w:r w:rsidR="00C64D39" w:rsidRPr="00E16A1B">
              <w:rPr>
                <w:rFonts w:cs="Arial"/>
                <w:i w:val="0"/>
                <w:sz w:val="32"/>
                <w:szCs w:val="32"/>
              </w:rPr>
              <w:t xml:space="preserve"> </w:t>
            </w:r>
            <w:r w:rsidRPr="00E16A1B">
              <w:rPr>
                <w:rFonts w:cs="Arial"/>
                <w:i w:val="0"/>
                <w:sz w:val="32"/>
                <w:szCs w:val="32"/>
              </w:rPr>
              <w:t>20</w:t>
            </w:r>
            <w:r w:rsidR="00B934BD" w:rsidRPr="00E16A1B">
              <w:rPr>
                <w:rFonts w:cs="Arial"/>
                <w:i w:val="0"/>
                <w:sz w:val="32"/>
                <w:szCs w:val="32"/>
              </w:rPr>
              <w:t>08</w:t>
            </w:r>
          </w:p>
        </w:tc>
      </w:tr>
      <w:tr w:rsidR="007130AF" w:rsidRPr="00E16A1B">
        <w:tblPrEx>
          <w:tblCellMar>
            <w:top w:w="0" w:type="dxa"/>
            <w:bottom w:w="0" w:type="dxa"/>
          </w:tblCellMar>
        </w:tblPrEx>
        <w:trPr>
          <w:cantSplit/>
          <w:trHeight w:val="281"/>
        </w:trPr>
        <w:tc>
          <w:tcPr>
            <w:tcW w:w="3739" w:type="dxa"/>
          </w:tcPr>
          <w:p w:rsidR="007130AF" w:rsidRPr="00E16A1B" w:rsidRDefault="00716B14" w:rsidP="00234109">
            <w:pPr>
              <w:pStyle w:val="Balk4"/>
              <w:spacing w:before="0" w:after="0"/>
              <w:jc w:val="left"/>
              <w:rPr>
                <w:rFonts w:ascii="Arial" w:hAnsi="Arial" w:cs="Arial"/>
                <w:sz w:val="32"/>
              </w:rPr>
            </w:pPr>
            <w:r>
              <w:rPr>
                <w:rFonts w:ascii="Arial" w:hAnsi="Arial" w:cs="Arial"/>
                <w:iCs/>
                <w:sz w:val="32"/>
                <w:szCs w:val="32"/>
              </w:rPr>
              <w:t xml:space="preserve">tst </w:t>
            </w:r>
            <w:r w:rsidR="00234109" w:rsidRPr="00E16A1B">
              <w:rPr>
                <w:rFonts w:ascii="Arial" w:hAnsi="Arial" w:cs="Arial"/>
                <w:iCs/>
                <w:sz w:val="32"/>
                <w:szCs w:val="32"/>
              </w:rPr>
              <w:t>T</w:t>
            </w:r>
            <w:r w:rsidR="00234109">
              <w:rPr>
                <w:rFonts w:ascii="Arial" w:hAnsi="Arial" w:cs="Arial"/>
                <w:iCs/>
                <w:sz w:val="32"/>
                <w:szCs w:val="32"/>
              </w:rPr>
              <w:t>2</w:t>
            </w:r>
            <w:r w:rsidR="007045DD" w:rsidRPr="00E16A1B">
              <w:rPr>
                <w:rFonts w:ascii="Arial" w:hAnsi="Arial" w:cs="Arial"/>
                <w:sz w:val="32"/>
                <w:szCs w:val="32"/>
              </w:rPr>
              <w:t>:</w:t>
            </w:r>
          </w:p>
        </w:tc>
      </w:tr>
    </w:tbl>
    <w:p w:rsidR="007130AF" w:rsidRPr="001F3870" w:rsidRDefault="007130AF" w:rsidP="007130AF">
      <w:pPr>
        <w:pStyle w:val="GvdeMetni"/>
        <w:pBdr>
          <w:bottom w:val="single" w:sz="4" w:space="1" w:color="auto"/>
        </w:pBdr>
        <w:rPr>
          <w:sz w:val="12"/>
          <w:szCs w:val="12"/>
        </w:rPr>
      </w:pPr>
    </w:p>
    <w:p w:rsidR="007130AF" w:rsidRPr="001F3870" w:rsidRDefault="007130AF" w:rsidP="007130AF">
      <w:pPr>
        <w:pStyle w:val="GvdeMetni"/>
        <w:pBdr>
          <w:bottom w:val="single" w:sz="4" w:space="1" w:color="auto"/>
        </w:pBdr>
        <w:rPr>
          <w:b w:val="0"/>
          <w:sz w:val="24"/>
        </w:rPr>
      </w:pPr>
      <w:r w:rsidRPr="001F3870">
        <w:rPr>
          <w:sz w:val="24"/>
        </w:rPr>
        <w:t xml:space="preserve">ICS </w:t>
      </w:r>
      <w:r w:rsidRPr="001F3870">
        <w:rPr>
          <w:b w:val="0"/>
          <w:sz w:val="24"/>
        </w:rPr>
        <w:t>67.</w:t>
      </w:r>
      <w:r w:rsidR="0083615A">
        <w:rPr>
          <w:b w:val="0"/>
          <w:sz w:val="24"/>
        </w:rPr>
        <w:t>160</w:t>
      </w:r>
      <w:r w:rsidRPr="001F3870">
        <w:rPr>
          <w:b w:val="0"/>
          <w:sz w:val="24"/>
        </w:rPr>
        <w:t>.</w:t>
      </w:r>
      <w:r w:rsidR="0083615A">
        <w:rPr>
          <w:b w:val="0"/>
          <w:sz w:val="24"/>
        </w:rPr>
        <w:t>2</w:t>
      </w:r>
      <w:r w:rsidRPr="001F3870">
        <w:rPr>
          <w:b w:val="0"/>
          <w:sz w:val="24"/>
        </w:rPr>
        <w:t>0</w:t>
      </w:r>
    </w:p>
    <w:p w:rsidR="007130AF" w:rsidRPr="001F3870" w:rsidRDefault="007130AF" w:rsidP="007130AF">
      <w:pPr>
        <w:jc w:val="center"/>
        <w:rPr>
          <w:rFonts w:cs="Arial"/>
          <w:b/>
          <w:sz w:val="16"/>
          <w:szCs w:val="16"/>
        </w:rPr>
      </w:pPr>
    </w:p>
    <w:p w:rsidR="007130AF" w:rsidRPr="001F3870" w:rsidRDefault="007130AF" w:rsidP="007130AF">
      <w:pPr>
        <w:rPr>
          <w:rFonts w:cs="Arial"/>
        </w:rPr>
      </w:pPr>
      <w:r w:rsidRPr="001F3870">
        <w:rPr>
          <w:rFonts w:cs="Arial"/>
        </w:rPr>
        <w:t>Bu tadil, T</w:t>
      </w:r>
      <w:r w:rsidR="0077012A" w:rsidRPr="001F3870">
        <w:rPr>
          <w:rFonts w:cs="Arial"/>
        </w:rPr>
        <w:t xml:space="preserve">ürk </w:t>
      </w:r>
      <w:r w:rsidRPr="001F3870">
        <w:rPr>
          <w:rFonts w:cs="Arial"/>
        </w:rPr>
        <w:t>S</w:t>
      </w:r>
      <w:r w:rsidR="0077012A" w:rsidRPr="001F3870">
        <w:rPr>
          <w:rFonts w:cs="Arial"/>
        </w:rPr>
        <w:t xml:space="preserve">tandardları </w:t>
      </w:r>
      <w:r w:rsidRPr="001F3870">
        <w:rPr>
          <w:rFonts w:cs="Arial"/>
        </w:rPr>
        <w:t>E</w:t>
      </w:r>
      <w:r w:rsidR="0077012A" w:rsidRPr="001F3870">
        <w:rPr>
          <w:rFonts w:cs="Arial"/>
        </w:rPr>
        <w:t xml:space="preserve">nstitüsü </w:t>
      </w:r>
      <w:r w:rsidR="00A67589">
        <w:rPr>
          <w:rFonts w:cs="Arial"/>
        </w:rPr>
        <w:t>Gıda Tarım ve Hayvancılık</w:t>
      </w:r>
      <w:r w:rsidRPr="001F3870">
        <w:rPr>
          <w:rFonts w:cs="Arial"/>
        </w:rPr>
        <w:t xml:space="preserve"> İhtisas </w:t>
      </w:r>
      <w:r w:rsidR="00A67589">
        <w:rPr>
          <w:rFonts w:cs="Arial"/>
        </w:rPr>
        <w:t>Kuruluna bağlı TK24 Gıda Teknik Komitesi’nce</w:t>
      </w:r>
      <w:r w:rsidRPr="001F3870">
        <w:rPr>
          <w:rFonts w:cs="Arial"/>
        </w:rPr>
        <w:t xml:space="preserve"> hazırlanmış ve TSE Teknik Kurulu’nun </w:t>
      </w:r>
      <w:r w:rsidR="002F0CA4">
        <w:t xml:space="preserve">       </w:t>
      </w:r>
      <w:r w:rsidR="004D06FB" w:rsidRPr="001F3870">
        <w:rPr>
          <w:rFonts w:cs="Arial"/>
        </w:rPr>
        <w:t xml:space="preserve"> </w:t>
      </w:r>
      <w:r w:rsidRPr="001F3870">
        <w:rPr>
          <w:rFonts w:cs="Arial"/>
        </w:rPr>
        <w:t>tarihli toplantısında kabul edilerek yayımına karar verilmiştir.</w:t>
      </w:r>
    </w:p>
    <w:p w:rsidR="007130AF" w:rsidRPr="001F3870" w:rsidRDefault="007130AF" w:rsidP="007130AF">
      <w:pPr>
        <w:rPr>
          <w:rFonts w:cs="Arial"/>
        </w:rPr>
      </w:pPr>
    </w:p>
    <w:tbl>
      <w:tblPr>
        <w:tblW w:w="0" w:type="auto"/>
        <w:tblLook w:val="0000" w:firstRow="0" w:lastRow="0" w:firstColumn="0" w:lastColumn="0" w:noHBand="0" w:noVBand="0"/>
      </w:tblPr>
      <w:tblGrid>
        <w:gridCol w:w="9747"/>
      </w:tblGrid>
      <w:tr w:rsidR="007130AF" w:rsidRPr="001F3870" w:rsidTr="007536F2">
        <w:tblPrEx>
          <w:tblCellMar>
            <w:top w:w="0" w:type="dxa"/>
            <w:bottom w:w="0" w:type="dxa"/>
          </w:tblCellMar>
        </w:tblPrEx>
        <w:tc>
          <w:tcPr>
            <w:tcW w:w="9747" w:type="dxa"/>
          </w:tcPr>
          <w:p w:rsidR="004E5FFF" w:rsidRPr="004E5FFF" w:rsidRDefault="00B934BD" w:rsidP="004E5FFF">
            <w:pPr>
              <w:pStyle w:val="GvdeMetni"/>
              <w:jc w:val="center"/>
              <w:rPr>
                <w:rFonts w:cs="Arial"/>
                <w:sz w:val="28"/>
                <w:szCs w:val="28"/>
              </w:rPr>
            </w:pPr>
            <w:r w:rsidRPr="00B934BD">
              <w:rPr>
                <w:rFonts w:cs="Arial"/>
                <w:bCs/>
                <w:sz w:val="28"/>
                <w:szCs w:val="28"/>
              </w:rPr>
              <w:t>Şeftali nektarı</w:t>
            </w:r>
          </w:p>
        </w:tc>
      </w:tr>
      <w:tr w:rsidR="007045DD" w:rsidRPr="001F3870" w:rsidTr="007536F2">
        <w:tblPrEx>
          <w:tblCellMar>
            <w:top w:w="0" w:type="dxa"/>
            <w:bottom w:w="0" w:type="dxa"/>
          </w:tblCellMar>
        </w:tblPrEx>
        <w:tc>
          <w:tcPr>
            <w:tcW w:w="9747" w:type="dxa"/>
          </w:tcPr>
          <w:p w:rsidR="007045DD" w:rsidRPr="00723ECD" w:rsidRDefault="007045DD" w:rsidP="004E5FFF">
            <w:pPr>
              <w:pStyle w:val="GvdeMetni"/>
              <w:jc w:val="center"/>
              <w:rPr>
                <w:rFonts w:cs="Arial"/>
                <w:sz w:val="28"/>
                <w:szCs w:val="28"/>
              </w:rPr>
            </w:pPr>
          </w:p>
        </w:tc>
      </w:tr>
      <w:tr w:rsidR="007130AF" w:rsidRPr="001F3870" w:rsidTr="007536F2">
        <w:tblPrEx>
          <w:tblCellMar>
            <w:top w:w="0" w:type="dxa"/>
            <w:bottom w:w="0" w:type="dxa"/>
          </w:tblCellMar>
        </w:tblPrEx>
        <w:tc>
          <w:tcPr>
            <w:tcW w:w="9747" w:type="dxa"/>
          </w:tcPr>
          <w:p w:rsidR="00B934BD" w:rsidRPr="0099658A" w:rsidRDefault="00B934BD" w:rsidP="00716B14">
            <w:pPr>
              <w:jc w:val="center"/>
              <w:rPr>
                <w:sz w:val="28"/>
              </w:rPr>
            </w:pPr>
            <w:r w:rsidRPr="00B934BD">
              <w:rPr>
                <w:sz w:val="28"/>
              </w:rPr>
              <w:t>Peach Nectar</w:t>
            </w:r>
          </w:p>
        </w:tc>
      </w:tr>
    </w:tbl>
    <w:p w:rsidR="007536F2" w:rsidRDefault="007536F2" w:rsidP="007130AF">
      <w:pPr>
        <w:rPr>
          <w:b/>
        </w:rPr>
      </w:pPr>
    </w:p>
    <w:p w:rsidR="00284293" w:rsidRPr="00284293" w:rsidRDefault="00284293" w:rsidP="00284293">
      <w:r w:rsidRPr="00284293">
        <w:t>Aşağıdaki standard atıf yapılan standardlar kısmından çıkarılmıştır</w:t>
      </w:r>
    </w:p>
    <w:p w:rsidR="00284293" w:rsidRPr="00284293" w:rsidRDefault="00284293" w:rsidP="00284293"/>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57"/>
        <w:gridCol w:w="4200"/>
        <w:gridCol w:w="4151"/>
      </w:tblGrid>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EN 14546</w:t>
            </w:r>
          </w:p>
        </w:tc>
        <w:tc>
          <w:tcPr>
            <w:tcW w:w="4200" w:type="dxa"/>
            <w:shd w:val="clear" w:color="auto" w:fill="auto"/>
          </w:tcPr>
          <w:p w:rsidR="00284293" w:rsidRPr="00284293" w:rsidRDefault="00284293" w:rsidP="00716B14">
            <w:pPr>
              <w:jc w:val="left"/>
            </w:pPr>
            <w:r w:rsidRPr="00284293">
              <w:t>Gıda maddeleri - İz elementlerin tayini - Kuru yakma işleminden sonra hidrid generasyonlu atomik absorbsiyon spektrometri (HGAAS) ile toplam arsenik tayini</w:t>
            </w:r>
          </w:p>
        </w:tc>
        <w:tc>
          <w:tcPr>
            <w:tcW w:w="4151" w:type="dxa"/>
            <w:shd w:val="clear" w:color="auto" w:fill="auto"/>
          </w:tcPr>
          <w:p w:rsidR="00284293" w:rsidRPr="00284293" w:rsidRDefault="00284293" w:rsidP="00716B14">
            <w:pPr>
              <w:jc w:val="left"/>
            </w:pPr>
            <w:r w:rsidRPr="00284293">
              <w:t>Foodstuffs - Determination of trace elements - Determination of total arsenic by hydride generation atomic absorption spectrometry (HGAAS) after dry ashing</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EN 14084</w:t>
            </w:r>
          </w:p>
        </w:tc>
        <w:tc>
          <w:tcPr>
            <w:tcW w:w="4200" w:type="dxa"/>
            <w:shd w:val="clear" w:color="auto" w:fill="auto"/>
          </w:tcPr>
          <w:p w:rsidR="00284293" w:rsidRPr="00284293" w:rsidRDefault="00284293" w:rsidP="00716B14">
            <w:pPr>
              <w:jc w:val="left"/>
            </w:pPr>
            <w:r w:rsidRPr="00284293">
              <w:t>Gıdalar – Eser elementlerin tayini – Mikrodalga ile parçalama işleminden sonra kurşun, kadmiyum, çinko, bakır ve demirin atomik absorpsiyon spektrometri (AAS) ile tayini</w:t>
            </w:r>
          </w:p>
        </w:tc>
        <w:tc>
          <w:tcPr>
            <w:tcW w:w="4151" w:type="dxa"/>
            <w:shd w:val="clear" w:color="auto" w:fill="auto"/>
          </w:tcPr>
          <w:p w:rsidR="00284293" w:rsidRPr="00284293" w:rsidRDefault="00284293" w:rsidP="00716B14">
            <w:pPr>
              <w:jc w:val="left"/>
            </w:pPr>
            <w:r w:rsidRPr="00284293">
              <w:t>Foodstuffs - Determination of trace elements - Determination of lead, cadmium, zinc, copper and iron by atomic absorption spectrometry (AAS) after microwave digestion</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ISO 7952</w:t>
            </w:r>
          </w:p>
        </w:tc>
        <w:tc>
          <w:tcPr>
            <w:tcW w:w="4200" w:type="dxa"/>
            <w:shd w:val="clear" w:color="auto" w:fill="auto"/>
          </w:tcPr>
          <w:p w:rsidR="00284293" w:rsidRPr="00284293" w:rsidRDefault="00284293" w:rsidP="00716B14">
            <w:pPr>
              <w:jc w:val="left"/>
            </w:pPr>
            <w:r w:rsidRPr="00284293">
              <w:t>Meyveler, Sebzeler ve Bunlardan Hazırlanan Mamuller-Bakır Tayini-Alevli Atomik Absorpsiyon Spektrometrik Metot</w:t>
            </w:r>
          </w:p>
        </w:tc>
        <w:tc>
          <w:tcPr>
            <w:tcW w:w="4151" w:type="dxa"/>
            <w:shd w:val="clear" w:color="auto" w:fill="auto"/>
          </w:tcPr>
          <w:p w:rsidR="00284293" w:rsidRPr="00284293" w:rsidRDefault="00284293" w:rsidP="00716B14">
            <w:pPr>
              <w:jc w:val="left"/>
            </w:pPr>
            <w:r w:rsidRPr="00284293">
              <w:t>Fruits, Vegetables and Derived Products-Determination of Copper Content-Method Using Flame Atomic Absorption Spectrometry</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EN 14082</w:t>
            </w:r>
          </w:p>
        </w:tc>
        <w:tc>
          <w:tcPr>
            <w:tcW w:w="4200" w:type="dxa"/>
            <w:shd w:val="clear" w:color="auto" w:fill="auto"/>
          </w:tcPr>
          <w:p w:rsidR="00284293" w:rsidRPr="00284293" w:rsidRDefault="00284293" w:rsidP="00716B14">
            <w:pPr>
              <w:jc w:val="left"/>
            </w:pPr>
            <w:r w:rsidRPr="00284293">
              <w:t xml:space="preserve">Gıdalar – Eser elementlerin tayini – Kuru yakma işleminden sonra kurşun, kadmiyum, çinko, bakır, demir ve kromun atomik absorpsiyon spektrometri (AAS) ile tayini </w:t>
            </w:r>
          </w:p>
        </w:tc>
        <w:tc>
          <w:tcPr>
            <w:tcW w:w="4151" w:type="dxa"/>
            <w:shd w:val="clear" w:color="auto" w:fill="auto"/>
          </w:tcPr>
          <w:p w:rsidR="00284293" w:rsidRPr="00284293" w:rsidRDefault="00284293" w:rsidP="00716B14">
            <w:pPr>
              <w:jc w:val="left"/>
            </w:pPr>
            <w:r w:rsidRPr="00284293">
              <w:t>Foodstuffs – Determination of trace elements – Determination of lead, cadmium, zinc, copper, iron and chromium by atomic absorption spectrometry (AAS) after dry ashing</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EN 14083</w:t>
            </w:r>
          </w:p>
        </w:tc>
        <w:tc>
          <w:tcPr>
            <w:tcW w:w="4200" w:type="dxa"/>
            <w:shd w:val="clear" w:color="auto" w:fill="auto"/>
          </w:tcPr>
          <w:p w:rsidR="00284293" w:rsidRPr="00284293" w:rsidRDefault="00284293" w:rsidP="00716B14">
            <w:pPr>
              <w:jc w:val="left"/>
            </w:pPr>
            <w:r w:rsidRPr="00284293">
              <w:t>Gıdalar – Eser elementlerin tayini – Basınç altında parçalama işleminden sonra kurşun, kadmiyum, krom ve molibdenin grafit fırınlı atomik absorpsiyon spektrometri (GFAAS) ile tayini</w:t>
            </w:r>
          </w:p>
        </w:tc>
        <w:tc>
          <w:tcPr>
            <w:tcW w:w="4151" w:type="dxa"/>
            <w:shd w:val="clear" w:color="auto" w:fill="auto"/>
          </w:tcPr>
          <w:p w:rsidR="00284293" w:rsidRPr="00284293" w:rsidRDefault="00284293" w:rsidP="00716B14">
            <w:pPr>
              <w:jc w:val="left"/>
            </w:pPr>
            <w:r w:rsidRPr="00284293">
              <w:t>Foodstuffs - Determination of trace elements - Determination of lead, cadmium, chromium and molybdenum by graphite furnace atomic absorption spectrometry (GFAAS) after pressure digestion</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ISO 6636-3</w:t>
            </w:r>
          </w:p>
        </w:tc>
        <w:tc>
          <w:tcPr>
            <w:tcW w:w="4200" w:type="dxa"/>
            <w:shd w:val="clear" w:color="auto" w:fill="auto"/>
          </w:tcPr>
          <w:p w:rsidR="00284293" w:rsidRPr="00284293" w:rsidRDefault="00284293" w:rsidP="00716B14">
            <w:pPr>
              <w:jc w:val="left"/>
            </w:pPr>
            <w:r w:rsidRPr="00284293">
              <w:t>Meyve ve Sebze Ürünleri-Çinko İçeriği Tayini-Bölüm 3:Ditizon Spektrometrik Yöntem</w:t>
            </w:r>
          </w:p>
        </w:tc>
        <w:tc>
          <w:tcPr>
            <w:tcW w:w="4151" w:type="dxa"/>
            <w:shd w:val="clear" w:color="auto" w:fill="auto"/>
          </w:tcPr>
          <w:p w:rsidR="00284293" w:rsidRPr="00284293" w:rsidRDefault="00284293" w:rsidP="00716B14">
            <w:pPr>
              <w:jc w:val="left"/>
            </w:pPr>
            <w:r w:rsidRPr="00284293">
              <w:t>Fruit and vegetable products-determination of zinc content-part 3:dithizone spectrometric method</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7573</w:t>
            </w:r>
          </w:p>
        </w:tc>
        <w:tc>
          <w:tcPr>
            <w:tcW w:w="4200" w:type="dxa"/>
            <w:shd w:val="clear" w:color="auto" w:fill="auto"/>
          </w:tcPr>
          <w:p w:rsidR="00284293" w:rsidRPr="00284293" w:rsidRDefault="00284293" w:rsidP="00716B14">
            <w:pPr>
              <w:jc w:val="left"/>
            </w:pPr>
            <w:r w:rsidRPr="00284293">
              <w:t>Meyve, Sebze ve Mamulleri-Çinko Tayini-Atomik Absorbsiyon Spektrometrik Metot</w:t>
            </w:r>
          </w:p>
        </w:tc>
        <w:tc>
          <w:tcPr>
            <w:tcW w:w="4151" w:type="dxa"/>
            <w:shd w:val="clear" w:color="auto" w:fill="auto"/>
          </w:tcPr>
          <w:p w:rsidR="00284293" w:rsidRPr="00284293" w:rsidRDefault="00284293" w:rsidP="00716B14">
            <w:pPr>
              <w:jc w:val="left"/>
            </w:pPr>
            <w:r w:rsidRPr="00284293">
              <w:t>Fruits, Vegetables and Derived Products-Determination of Zinc Content-Atomic Absorption Spectrometric Method</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6065 ISO 2447</w:t>
            </w:r>
          </w:p>
        </w:tc>
        <w:tc>
          <w:tcPr>
            <w:tcW w:w="4200" w:type="dxa"/>
            <w:shd w:val="clear" w:color="auto" w:fill="auto"/>
          </w:tcPr>
          <w:p w:rsidR="00284293" w:rsidRPr="00284293" w:rsidRDefault="00284293" w:rsidP="00716B14">
            <w:pPr>
              <w:jc w:val="left"/>
            </w:pPr>
            <w:r w:rsidRPr="00284293">
              <w:t xml:space="preserve">Meyve Ve Sebze Mamulleri- Kalay Muhtevası Tayini </w:t>
            </w:r>
          </w:p>
        </w:tc>
        <w:tc>
          <w:tcPr>
            <w:tcW w:w="4151" w:type="dxa"/>
            <w:shd w:val="clear" w:color="auto" w:fill="auto"/>
          </w:tcPr>
          <w:p w:rsidR="00284293" w:rsidRPr="00284293" w:rsidRDefault="00284293" w:rsidP="00716B14">
            <w:pPr>
              <w:jc w:val="left"/>
            </w:pPr>
            <w:r w:rsidRPr="00284293">
              <w:t>Fruit and vegetable products- Determination of tin content</w:t>
            </w:r>
          </w:p>
        </w:tc>
      </w:tr>
      <w:tr w:rsidR="00284293" w:rsidRPr="00284293" w:rsidTr="006120D0">
        <w:trPr>
          <w:trHeight w:val="20"/>
        </w:trPr>
        <w:tc>
          <w:tcPr>
            <w:tcW w:w="1457" w:type="dxa"/>
            <w:shd w:val="clear" w:color="auto" w:fill="auto"/>
            <w:vAlign w:val="center"/>
          </w:tcPr>
          <w:p w:rsidR="00284293" w:rsidRPr="00284293" w:rsidRDefault="00284293" w:rsidP="00716B14">
            <w:pPr>
              <w:jc w:val="left"/>
            </w:pPr>
            <w:r w:rsidRPr="00284293">
              <w:t>TS 6182</w:t>
            </w:r>
          </w:p>
        </w:tc>
        <w:tc>
          <w:tcPr>
            <w:tcW w:w="4200" w:type="dxa"/>
            <w:shd w:val="clear" w:color="auto" w:fill="auto"/>
          </w:tcPr>
          <w:p w:rsidR="00284293" w:rsidRPr="00284293" w:rsidRDefault="00284293" w:rsidP="00716B14">
            <w:pPr>
              <w:jc w:val="left"/>
            </w:pPr>
            <w:r w:rsidRPr="00284293">
              <w:t>Meyve, Sebze ve Mamulleri-Kurşun Miktarı Tayini Alevsiz Atomik Absorpsiyon Spektrometrik Metot</w:t>
            </w:r>
          </w:p>
        </w:tc>
        <w:tc>
          <w:tcPr>
            <w:tcW w:w="4151" w:type="dxa"/>
            <w:shd w:val="clear" w:color="auto" w:fill="auto"/>
          </w:tcPr>
          <w:p w:rsidR="00284293" w:rsidRPr="00284293" w:rsidRDefault="00284293" w:rsidP="00716B14">
            <w:pPr>
              <w:jc w:val="left"/>
            </w:pPr>
            <w:r w:rsidRPr="00284293">
              <w:t>Fruits, Vegetables and Derived Products-Determination of Lead Content-Flameless Atomic Absorption Spectrometric Method</w:t>
            </w:r>
          </w:p>
        </w:tc>
      </w:tr>
      <w:tr w:rsidR="00284293" w:rsidRPr="00284293" w:rsidTr="006120D0">
        <w:trPr>
          <w:trHeight w:val="20"/>
        </w:trPr>
        <w:tc>
          <w:tcPr>
            <w:tcW w:w="1457" w:type="dxa"/>
            <w:shd w:val="clear" w:color="auto" w:fill="auto"/>
          </w:tcPr>
          <w:p w:rsidR="00284293" w:rsidRPr="00284293" w:rsidRDefault="00284293" w:rsidP="00716B14">
            <w:pPr>
              <w:jc w:val="left"/>
            </w:pPr>
            <w:bookmarkStart w:id="2" w:name="_Toc161732146"/>
            <w:bookmarkStart w:id="3" w:name="_Toc171754314"/>
            <w:r w:rsidRPr="00284293">
              <w:t xml:space="preserve">TS 7703 </w:t>
            </w:r>
          </w:p>
          <w:p w:rsidR="00284293" w:rsidRPr="00284293" w:rsidRDefault="00284293" w:rsidP="00716B14">
            <w:pPr>
              <w:jc w:val="left"/>
            </w:pPr>
            <w:r w:rsidRPr="00284293">
              <w:t>EN ISO 4833</w:t>
            </w:r>
            <w:bookmarkEnd w:id="2"/>
            <w:bookmarkEnd w:id="3"/>
          </w:p>
        </w:tc>
        <w:tc>
          <w:tcPr>
            <w:tcW w:w="4200" w:type="dxa"/>
            <w:shd w:val="clear" w:color="auto" w:fill="auto"/>
          </w:tcPr>
          <w:p w:rsidR="00284293" w:rsidRPr="00284293" w:rsidRDefault="00284293" w:rsidP="00716B14">
            <w:pPr>
              <w:jc w:val="left"/>
            </w:pPr>
            <w:bookmarkStart w:id="4" w:name="_Toc161732147"/>
            <w:bookmarkStart w:id="5" w:name="_Toc171754315"/>
            <w:r w:rsidRPr="00284293">
              <w:lastRenderedPageBreak/>
              <w:t xml:space="preserve">Mikrobiyoloji - Gıda ve hayvan yemleri – </w:t>
            </w:r>
            <w:r w:rsidRPr="00284293">
              <w:lastRenderedPageBreak/>
              <w:t>Mikroorganizmaların sayımı için yatay yöntem – 30°C’ta koloni sayım tekniği</w:t>
            </w:r>
            <w:bookmarkEnd w:id="4"/>
            <w:bookmarkEnd w:id="5"/>
          </w:p>
        </w:tc>
        <w:tc>
          <w:tcPr>
            <w:tcW w:w="4151" w:type="dxa"/>
            <w:shd w:val="clear" w:color="auto" w:fill="auto"/>
          </w:tcPr>
          <w:p w:rsidR="00284293" w:rsidRPr="00284293" w:rsidRDefault="00284293" w:rsidP="00716B14">
            <w:pPr>
              <w:jc w:val="left"/>
            </w:pPr>
            <w:bookmarkStart w:id="6" w:name="_Toc161732148"/>
            <w:bookmarkStart w:id="7" w:name="_Toc171754316"/>
            <w:r w:rsidRPr="00284293">
              <w:lastRenderedPageBreak/>
              <w:t xml:space="preserve">Microbiology-General Guidance for the </w:t>
            </w:r>
            <w:r w:rsidRPr="00284293">
              <w:lastRenderedPageBreak/>
              <w:t>Enumeration of Microorganisms - Colony Count Technique at 30°C</w:t>
            </w:r>
            <w:r w:rsidRPr="00284293" w:rsidDel="002B4FF4">
              <w:t xml:space="preserve"> </w:t>
            </w:r>
            <w:bookmarkEnd w:id="6"/>
            <w:bookmarkEnd w:id="7"/>
          </w:p>
        </w:tc>
      </w:tr>
    </w:tbl>
    <w:p w:rsidR="00716B14" w:rsidRDefault="00716B14"/>
    <w:p w:rsidR="00716B14" w:rsidRDefault="00716B14"/>
    <w:p w:rsidR="00716B14" w:rsidRDefault="00716B14" w:rsidP="00716B14">
      <w:pPr>
        <w:jc w:val="right"/>
      </w:pPr>
      <w:r>
        <w:t>Sayfa 2/2</w:t>
      </w:r>
    </w:p>
    <w:p w:rsidR="00716B14" w:rsidRDefault="00716B14" w:rsidP="00716B14">
      <w:pPr>
        <w:tabs>
          <w:tab w:val="right" w:pos="9638"/>
        </w:tabs>
      </w:pPr>
      <w:r>
        <w:t>IOS 67.160.20</w:t>
      </w:r>
      <w:r>
        <w:tab/>
        <w:t>TS 1596:2008/tst T2</w:t>
      </w:r>
    </w:p>
    <w:p w:rsidR="00716B14" w:rsidRDefault="00716B14" w:rsidP="00716B14">
      <w:pPr>
        <w:pBdr>
          <w:top w:val="single" w:sz="4" w:space="1" w:color="auto"/>
        </w:pBdr>
      </w:pPr>
    </w:p>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57"/>
        <w:gridCol w:w="4200"/>
        <w:gridCol w:w="4151"/>
        <w:tblGridChange w:id="8">
          <w:tblGrid>
            <w:gridCol w:w="1457"/>
            <w:gridCol w:w="4200"/>
            <w:gridCol w:w="4151"/>
          </w:tblGrid>
        </w:tblGridChange>
      </w:tblGrid>
      <w:tr w:rsidR="00284293" w:rsidRPr="00284293" w:rsidTr="006120D0">
        <w:trPr>
          <w:trHeight w:val="20"/>
        </w:trPr>
        <w:tc>
          <w:tcPr>
            <w:tcW w:w="1457" w:type="dxa"/>
            <w:shd w:val="clear" w:color="auto" w:fill="auto"/>
          </w:tcPr>
          <w:p w:rsidR="00284293" w:rsidRPr="00284293" w:rsidRDefault="00284293" w:rsidP="00716B14">
            <w:pPr>
              <w:jc w:val="left"/>
            </w:pPr>
            <w:bookmarkStart w:id="9" w:name="_Toc161732140"/>
            <w:bookmarkStart w:id="10" w:name="_Toc171754311"/>
            <w:r w:rsidRPr="00284293">
              <w:t>TS 6580</w:t>
            </w:r>
            <w:bookmarkEnd w:id="9"/>
            <w:bookmarkEnd w:id="10"/>
          </w:p>
          <w:p w:rsidR="00284293" w:rsidRPr="00284293" w:rsidRDefault="00284293" w:rsidP="00716B14">
            <w:pPr>
              <w:jc w:val="left"/>
            </w:pPr>
          </w:p>
        </w:tc>
        <w:tc>
          <w:tcPr>
            <w:tcW w:w="4200" w:type="dxa"/>
            <w:shd w:val="clear" w:color="auto" w:fill="auto"/>
          </w:tcPr>
          <w:p w:rsidR="00284293" w:rsidRPr="00284293" w:rsidRDefault="00284293" w:rsidP="00716B14">
            <w:pPr>
              <w:jc w:val="left"/>
            </w:pPr>
            <w:bookmarkStart w:id="11" w:name="_Toc161732141"/>
            <w:bookmarkStart w:id="12" w:name="_Toc171754312"/>
            <w:r w:rsidRPr="00284293">
              <w:t>Mikrobiyoloji - Maya ve küf sayımında genel kurallar - 25 °C'da koloni sayım tekniği</w:t>
            </w:r>
            <w:bookmarkEnd w:id="11"/>
            <w:bookmarkEnd w:id="12"/>
          </w:p>
        </w:tc>
        <w:tc>
          <w:tcPr>
            <w:tcW w:w="4151" w:type="dxa"/>
            <w:shd w:val="clear" w:color="auto" w:fill="auto"/>
          </w:tcPr>
          <w:p w:rsidR="00284293" w:rsidRPr="00284293" w:rsidRDefault="00284293" w:rsidP="00716B14">
            <w:pPr>
              <w:jc w:val="left"/>
            </w:pPr>
            <w:bookmarkStart w:id="13" w:name="_Toc161732142"/>
            <w:bookmarkStart w:id="14" w:name="_Toc171754313"/>
            <w:r w:rsidRPr="00284293">
              <w:t>Microbiology - General guidance for enumeration of yeasts and moulds - Colony count technique at 25 degree</w:t>
            </w:r>
            <w:bookmarkEnd w:id="13"/>
            <w:bookmarkEnd w:id="14"/>
          </w:p>
        </w:tc>
      </w:tr>
      <w:tr w:rsidR="00284293" w:rsidRPr="00284293" w:rsidTr="006120D0">
        <w:trPr>
          <w:trHeight w:val="20"/>
        </w:trPr>
        <w:tc>
          <w:tcPr>
            <w:tcW w:w="1457" w:type="dxa"/>
            <w:shd w:val="clear" w:color="auto" w:fill="auto"/>
          </w:tcPr>
          <w:p w:rsidR="00284293" w:rsidRPr="00284293" w:rsidRDefault="00284293" w:rsidP="00716B14">
            <w:pPr>
              <w:jc w:val="left"/>
            </w:pPr>
            <w:r w:rsidRPr="00284293">
              <w:t xml:space="preserve">TS 7725 </w:t>
            </w:r>
          </w:p>
          <w:p w:rsidR="00284293" w:rsidRPr="00284293" w:rsidRDefault="00284293" w:rsidP="00716B14">
            <w:pPr>
              <w:jc w:val="left"/>
            </w:pPr>
            <w:r w:rsidRPr="00284293">
              <w:t>ISO 4831</w:t>
            </w:r>
          </w:p>
        </w:tc>
        <w:tc>
          <w:tcPr>
            <w:tcW w:w="4200" w:type="dxa"/>
            <w:shd w:val="clear" w:color="auto" w:fill="auto"/>
          </w:tcPr>
          <w:p w:rsidR="00284293" w:rsidRPr="00284293" w:rsidRDefault="00284293" w:rsidP="00716B14">
            <w:pPr>
              <w:jc w:val="left"/>
            </w:pPr>
            <w:r w:rsidRPr="00284293">
              <w:t>Mikrobiyoloji - Koliform Grubu Bakterilerinin Sayımı İçin Genel Kurallar - En Muhtemel Sayı Tekniği </w:t>
            </w:r>
          </w:p>
        </w:tc>
        <w:tc>
          <w:tcPr>
            <w:tcW w:w="4151" w:type="dxa"/>
            <w:shd w:val="clear" w:color="auto" w:fill="auto"/>
          </w:tcPr>
          <w:p w:rsidR="00284293" w:rsidRPr="00284293" w:rsidRDefault="00284293" w:rsidP="00716B14">
            <w:pPr>
              <w:jc w:val="left"/>
            </w:pPr>
            <w:r w:rsidRPr="00284293">
              <w:t>Microbiology - General Guidance for the Enumeration of Coliforms - Most Probable Number Technique</w:t>
            </w:r>
          </w:p>
        </w:tc>
      </w:tr>
      <w:tr w:rsidR="00284293" w:rsidRPr="00284293" w:rsidTr="006120D0">
        <w:trPr>
          <w:trHeight w:val="20"/>
        </w:trPr>
        <w:tc>
          <w:tcPr>
            <w:tcW w:w="1457" w:type="dxa"/>
            <w:shd w:val="clear" w:color="auto" w:fill="auto"/>
          </w:tcPr>
          <w:p w:rsidR="00284293" w:rsidRPr="00284293" w:rsidRDefault="00284293" w:rsidP="00716B14">
            <w:pPr>
              <w:jc w:val="left"/>
            </w:pPr>
            <w:bookmarkStart w:id="15" w:name="_Toc161656385"/>
            <w:r w:rsidRPr="00284293">
              <w:t>TS 4890</w:t>
            </w:r>
            <w:bookmarkEnd w:id="15"/>
          </w:p>
        </w:tc>
        <w:tc>
          <w:tcPr>
            <w:tcW w:w="4200" w:type="dxa"/>
            <w:shd w:val="clear" w:color="auto" w:fill="auto"/>
          </w:tcPr>
          <w:p w:rsidR="00284293" w:rsidRPr="00284293" w:rsidRDefault="00284293" w:rsidP="00716B14">
            <w:pPr>
              <w:jc w:val="left"/>
            </w:pPr>
            <w:bookmarkStart w:id="16" w:name="_Toc161732125"/>
            <w:bookmarkStart w:id="17" w:name="_Toc171754305"/>
            <w:r w:rsidRPr="00284293">
              <w:t>Meyve ve sebze mamulleri - Çözünür katı madde miktarı tayini -Refraktometrik metot</w:t>
            </w:r>
            <w:bookmarkEnd w:id="16"/>
            <w:bookmarkEnd w:id="17"/>
          </w:p>
        </w:tc>
        <w:tc>
          <w:tcPr>
            <w:tcW w:w="4151" w:type="dxa"/>
            <w:shd w:val="clear" w:color="auto" w:fill="auto"/>
          </w:tcPr>
          <w:p w:rsidR="00284293" w:rsidRPr="00284293" w:rsidRDefault="00284293" w:rsidP="00716B14">
            <w:pPr>
              <w:jc w:val="left"/>
            </w:pPr>
            <w:r w:rsidRPr="00284293">
              <w:t>Fruits and vegetable products – Determination of soluble solids content -Refractometric method</w:t>
            </w:r>
          </w:p>
        </w:tc>
      </w:tr>
      <w:tr w:rsidR="00284293" w:rsidRPr="00284293" w:rsidTr="006120D0">
        <w:trPr>
          <w:trHeight w:val="20"/>
        </w:trPr>
        <w:tc>
          <w:tcPr>
            <w:tcW w:w="1457" w:type="dxa"/>
            <w:shd w:val="clear" w:color="auto" w:fill="auto"/>
          </w:tcPr>
          <w:p w:rsidR="00284293" w:rsidRPr="00284293" w:rsidRDefault="00284293" w:rsidP="00716B14">
            <w:pPr>
              <w:jc w:val="left"/>
            </w:pPr>
            <w:r w:rsidRPr="00284293">
              <w:t>TS EN 12147</w:t>
            </w:r>
          </w:p>
          <w:p w:rsidR="00284293" w:rsidRPr="00284293" w:rsidRDefault="00284293" w:rsidP="00716B14">
            <w:pPr>
              <w:jc w:val="left"/>
            </w:pPr>
          </w:p>
        </w:tc>
        <w:tc>
          <w:tcPr>
            <w:tcW w:w="4200" w:type="dxa"/>
            <w:shd w:val="clear" w:color="auto" w:fill="auto"/>
          </w:tcPr>
          <w:p w:rsidR="00284293" w:rsidRPr="00284293" w:rsidRDefault="00284293" w:rsidP="00716B14">
            <w:pPr>
              <w:jc w:val="left"/>
            </w:pPr>
            <w:r w:rsidRPr="00284293">
              <w:t>Meyve ve sebze suları - Titre edilebilir asiditenin tayini</w:t>
            </w:r>
          </w:p>
        </w:tc>
        <w:tc>
          <w:tcPr>
            <w:tcW w:w="4151" w:type="dxa"/>
            <w:shd w:val="clear" w:color="auto" w:fill="auto"/>
          </w:tcPr>
          <w:p w:rsidR="00284293" w:rsidRPr="00284293" w:rsidRDefault="00284293" w:rsidP="00716B14">
            <w:pPr>
              <w:jc w:val="left"/>
            </w:pPr>
            <w:r w:rsidRPr="00284293">
              <w:t>Fruit and vegetable juices - Determination of titratable acidity</w:t>
            </w:r>
          </w:p>
        </w:tc>
      </w:tr>
      <w:tr w:rsidR="00724613" w:rsidRPr="00284293" w:rsidTr="00716B14">
        <w:trPr>
          <w:trHeight w:val="20"/>
        </w:trPr>
        <w:tc>
          <w:tcPr>
            <w:tcW w:w="1457" w:type="dxa"/>
            <w:shd w:val="clear" w:color="auto" w:fill="auto"/>
            <w:vAlign w:val="center"/>
          </w:tcPr>
          <w:p w:rsidR="00724613" w:rsidRPr="00284293" w:rsidRDefault="00724613" w:rsidP="00716B14">
            <w:pPr>
              <w:jc w:val="left"/>
            </w:pPr>
            <w:r w:rsidRPr="00C1012F">
              <w:t>TS ISO 21527-1</w:t>
            </w:r>
          </w:p>
        </w:tc>
        <w:tc>
          <w:tcPr>
            <w:tcW w:w="4200" w:type="dxa"/>
            <w:shd w:val="clear" w:color="auto" w:fill="auto"/>
          </w:tcPr>
          <w:p w:rsidR="00724613" w:rsidRPr="00284293" w:rsidRDefault="00724613" w:rsidP="00716B14">
            <w:pPr>
              <w:jc w:val="left"/>
            </w:pPr>
            <w:r w:rsidRPr="00C1012F">
              <w:t>Gıda ve hayvan yemleri mikrobiyolojisi - Maya ve küflerin sayımı için yatay yöntem - Bölüm 1: Su aktivitesi 0,95'ten yüksek olan ürünlerde koloni sayım tekniği</w:t>
            </w:r>
          </w:p>
        </w:tc>
        <w:tc>
          <w:tcPr>
            <w:tcW w:w="4151" w:type="dxa"/>
            <w:shd w:val="clear" w:color="auto" w:fill="auto"/>
          </w:tcPr>
          <w:p w:rsidR="00724613" w:rsidRPr="00284293" w:rsidRDefault="00724613" w:rsidP="00716B14">
            <w:pPr>
              <w:jc w:val="left"/>
            </w:pPr>
            <w:r w:rsidRPr="00C1012F">
              <w:t>Microbiology of food and animal feeding stuffs -- Horizontal method for the enumeration of yeasts and moulds -- Part 1: Colony count technique in products with water activity greater than 0,95</w:t>
            </w:r>
          </w:p>
        </w:tc>
      </w:tr>
      <w:tr w:rsidR="00724613" w:rsidRPr="00284293" w:rsidTr="00716B14">
        <w:trPr>
          <w:trHeight w:val="20"/>
        </w:trPr>
        <w:tc>
          <w:tcPr>
            <w:tcW w:w="1457" w:type="dxa"/>
            <w:shd w:val="clear" w:color="auto" w:fill="auto"/>
            <w:vAlign w:val="center"/>
          </w:tcPr>
          <w:p w:rsidR="00724613" w:rsidRPr="00284293" w:rsidRDefault="00724613" w:rsidP="00716B14">
            <w:pPr>
              <w:jc w:val="left"/>
            </w:pPr>
            <w:r w:rsidRPr="00C1012F">
              <w:t>TS ISO 4831</w:t>
            </w:r>
          </w:p>
        </w:tc>
        <w:tc>
          <w:tcPr>
            <w:tcW w:w="4200" w:type="dxa"/>
            <w:shd w:val="clear" w:color="auto" w:fill="auto"/>
          </w:tcPr>
          <w:p w:rsidR="00724613" w:rsidRPr="00284293" w:rsidRDefault="00724613" w:rsidP="00716B14">
            <w:pPr>
              <w:jc w:val="left"/>
            </w:pPr>
            <w:r w:rsidRPr="00C1012F">
              <w:t>Gıda ve hayvan yemleri mikrobiyolojisi - Koliformların tespiti ve sayımı için yatay yöntem - En muhtemel sayı tekniği</w:t>
            </w:r>
          </w:p>
        </w:tc>
        <w:tc>
          <w:tcPr>
            <w:tcW w:w="4151" w:type="dxa"/>
            <w:shd w:val="clear" w:color="auto" w:fill="auto"/>
          </w:tcPr>
          <w:p w:rsidR="00724613" w:rsidRPr="00284293" w:rsidRDefault="00724613" w:rsidP="00716B14">
            <w:pPr>
              <w:jc w:val="left"/>
            </w:pPr>
            <w:r w:rsidRPr="00C1012F">
              <w:t>Microbiology of food and animal feeding stuffs - Horizontal method for the detection and enumeration of coliforms - Most probable number technique</w:t>
            </w:r>
          </w:p>
        </w:tc>
      </w:tr>
    </w:tbl>
    <w:p w:rsidR="00284293" w:rsidRPr="00284293" w:rsidRDefault="00284293" w:rsidP="00284293"/>
    <w:p w:rsidR="00284293" w:rsidRPr="00284293" w:rsidRDefault="00284293" w:rsidP="00284293">
      <w:pPr>
        <w:rPr>
          <w:b/>
        </w:rPr>
      </w:pPr>
    </w:p>
    <w:p w:rsidR="00284293" w:rsidRPr="00284293" w:rsidRDefault="00284293" w:rsidP="00284293">
      <w:r w:rsidRPr="00284293">
        <w:t xml:space="preserve">- Standard metninde bulunan Çizelge 2 aşağıdaki biçimde değiştirilmiştir. </w:t>
      </w:r>
    </w:p>
    <w:p w:rsidR="00284293" w:rsidRPr="00284293" w:rsidRDefault="00284293" w:rsidP="00284293">
      <w:pPr>
        <w:rPr>
          <w:b/>
        </w:rPr>
      </w:pPr>
    </w:p>
    <w:p w:rsidR="00284293" w:rsidRPr="00284293" w:rsidRDefault="00284293" w:rsidP="00284293">
      <w:r w:rsidRPr="00284293">
        <w:rPr>
          <w:b/>
        </w:rPr>
        <w:t>Çizelge 2 -</w:t>
      </w:r>
      <w:r w:rsidRPr="00284293">
        <w:t xml:space="preserve"> Kayısı nektarının kimyasal özellikleri </w:t>
      </w:r>
    </w:p>
    <w:p w:rsidR="00284293" w:rsidRPr="00284293" w:rsidRDefault="00284293" w:rsidP="0028429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60"/>
        <w:gridCol w:w="1440"/>
      </w:tblGrid>
      <w:tr w:rsidR="00284293" w:rsidRPr="00284293" w:rsidTr="006120D0">
        <w:tblPrEx>
          <w:tblCellMar>
            <w:top w:w="0" w:type="dxa"/>
            <w:bottom w:w="0" w:type="dxa"/>
          </w:tblCellMar>
        </w:tblPrEx>
        <w:tc>
          <w:tcPr>
            <w:tcW w:w="6660" w:type="dxa"/>
            <w:vAlign w:val="center"/>
          </w:tcPr>
          <w:p w:rsidR="00284293" w:rsidRPr="00284293" w:rsidRDefault="00284293" w:rsidP="00716B14">
            <w:pPr>
              <w:jc w:val="center"/>
              <w:rPr>
                <w:b/>
              </w:rPr>
            </w:pPr>
            <w:r w:rsidRPr="00284293">
              <w:rPr>
                <w:b/>
              </w:rPr>
              <w:t>Özellikler</w:t>
            </w:r>
          </w:p>
        </w:tc>
        <w:tc>
          <w:tcPr>
            <w:tcW w:w="1440" w:type="dxa"/>
            <w:vAlign w:val="center"/>
          </w:tcPr>
          <w:p w:rsidR="00284293" w:rsidRPr="00284293" w:rsidRDefault="00284293" w:rsidP="00716B14">
            <w:pPr>
              <w:jc w:val="center"/>
              <w:rPr>
                <w:b/>
              </w:rPr>
            </w:pPr>
            <w:r w:rsidRPr="00284293">
              <w:rPr>
                <w:b/>
              </w:rPr>
              <w:t>Değer</w:t>
            </w:r>
          </w:p>
        </w:tc>
      </w:tr>
      <w:tr w:rsidR="00284293" w:rsidRPr="00284293" w:rsidTr="006120D0">
        <w:tblPrEx>
          <w:tblCellMar>
            <w:top w:w="0" w:type="dxa"/>
            <w:bottom w:w="0" w:type="dxa"/>
          </w:tblCellMar>
        </w:tblPrEx>
        <w:tc>
          <w:tcPr>
            <w:tcW w:w="6660" w:type="dxa"/>
          </w:tcPr>
          <w:p w:rsidR="00284293" w:rsidRPr="00284293" w:rsidRDefault="00284293" w:rsidP="00284293">
            <w:pPr>
              <w:rPr>
                <w:lang w:val="de-DE"/>
              </w:rPr>
            </w:pPr>
            <w:r w:rsidRPr="00284293">
              <w:t>Laktik asit, g/L, en çok</w:t>
            </w:r>
          </w:p>
        </w:tc>
        <w:tc>
          <w:tcPr>
            <w:tcW w:w="1440" w:type="dxa"/>
            <w:shd w:val="clear" w:color="auto" w:fill="auto"/>
          </w:tcPr>
          <w:p w:rsidR="00284293" w:rsidRPr="00284293" w:rsidRDefault="00284293" w:rsidP="00716B14">
            <w:pPr>
              <w:jc w:val="center"/>
            </w:pPr>
            <w:r w:rsidRPr="00284293">
              <w:t>0,5</w:t>
            </w:r>
          </w:p>
        </w:tc>
      </w:tr>
      <w:tr w:rsidR="00284293" w:rsidRPr="00284293" w:rsidTr="006120D0">
        <w:tblPrEx>
          <w:tblCellMar>
            <w:top w:w="0" w:type="dxa"/>
            <w:bottom w:w="0" w:type="dxa"/>
          </w:tblCellMar>
        </w:tblPrEx>
        <w:tc>
          <w:tcPr>
            <w:tcW w:w="6660" w:type="dxa"/>
          </w:tcPr>
          <w:p w:rsidR="00284293" w:rsidRPr="00284293" w:rsidRDefault="00284293" w:rsidP="00284293">
            <w:pPr>
              <w:rPr>
                <w:lang w:val="fr-FR"/>
              </w:rPr>
            </w:pPr>
            <w:r w:rsidRPr="00284293">
              <w:t>Uçucu asit, g/L, en çok</w:t>
            </w:r>
          </w:p>
        </w:tc>
        <w:tc>
          <w:tcPr>
            <w:tcW w:w="1440" w:type="dxa"/>
            <w:shd w:val="clear" w:color="auto" w:fill="auto"/>
          </w:tcPr>
          <w:p w:rsidR="00284293" w:rsidRPr="00284293" w:rsidRDefault="00284293" w:rsidP="00716B14">
            <w:pPr>
              <w:jc w:val="center"/>
            </w:pPr>
            <w:r w:rsidRPr="00284293">
              <w:t>0,4</w:t>
            </w:r>
          </w:p>
        </w:tc>
      </w:tr>
      <w:tr w:rsidR="00284293" w:rsidRPr="00284293" w:rsidTr="006120D0">
        <w:tblPrEx>
          <w:tblCellMar>
            <w:top w:w="0" w:type="dxa"/>
            <w:bottom w:w="0" w:type="dxa"/>
          </w:tblCellMar>
        </w:tblPrEx>
        <w:tc>
          <w:tcPr>
            <w:tcW w:w="6660" w:type="dxa"/>
          </w:tcPr>
          <w:p w:rsidR="00284293" w:rsidRPr="00284293" w:rsidRDefault="00284293" w:rsidP="00284293">
            <w:r w:rsidRPr="00284293">
              <w:t>Etil alkol, g/L, en çok</w:t>
            </w:r>
          </w:p>
        </w:tc>
        <w:tc>
          <w:tcPr>
            <w:tcW w:w="1440" w:type="dxa"/>
            <w:shd w:val="clear" w:color="auto" w:fill="auto"/>
          </w:tcPr>
          <w:p w:rsidR="00284293" w:rsidRPr="00284293" w:rsidRDefault="00284293" w:rsidP="00716B14">
            <w:pPr>
              <w:jc w:val="center"/>
            </w:pPr>
            <w:r w:rsidRPr="00284293">
              <w:t>3,0</w:t>
            </w:r>
          </w:p>
        </w:tc>
      </w:tr>
      <w:tr w:rsidR="00284293" w:rsidRPr="00284293" w:rsidTr="006120D0">
        <w:tblPrEx>
          <w:tblCellMar>
            <w:top w:w="0" w:type="dxa"/>
            <w:bottom w:w="0" w:type="dxa"/>
          </w:tblCellMar>
        </w:tblPrEx>
        <w:tc>
          <w:tcPr>
            <w:tcW w:w="6660" w:type="dxa"/>
          </w:tcPr>
          <w:p w:rsidR="00284293" w:rsidRPr="00284293" w:rsidRDefault="00284293" w:rsidP="00284293">
            <w:r w:rsidRPr="00284293">
              <w:t>Hidroksimetilfurfural (HMF) mg/L, en çok</w:t>
            </w:r>
          </w:p>
        </w:tc>
        <w:tc>
          <w:tcPr>
            <w:tcW w:w="1440" w:type="dxa"/>
            <w:shd w:val="clear" w:color="auto" w:fill="auto"/>
          </w:tcPr>
          <w:p w:rsidR="00284293" w:rsidRPr="00284293" w:rsidRDefault="00284293" w:rsidP="00716B14">
            <w:pPr>
              <w:jc w:val="center"/>
            </w:pPr>
            <w:r w:rsidRPr="00284293">
              <w:t>10</w:t>
            </w:r>
          </w:p>
        </w:tc>
      </w:tr>
      <w:tr w:rsidR="00284293" w:rsidRPr="00284293" w:rsidTr="006120D0">
        <w:tblPrEx>
          <w:tblCellMar>
            <w:top w:w="0" w:type="dxa"/>
            <w:bottom w:w="0" w:type="dxa"/>
          </w:tblCellMar>
        </w:tblPrEx>
        <w:tc>
          <w:tcPr>
            <w:tcW w:w="6660" w:type="dxa"/>
          </w:tcPr>
          <w:p w:rsidR="00284293" w:rsidRPr="00284293" w:rsidRDefault="00284293" w:rsidP="00284293">
            <w:r w:rsidRPr="00284293">
              <w:t>Kimyasal koruyucu madde</w:t>
            </w:r>
          </w:p>
        </w:tc>
        <w:tc>
          <w:tcPr>
            <w:tcW w:w="1440" w:type="dxa"/>
            <w:shd w:val="clear" w:color="auto" w:fill="auto"/>
          </w:tcPr>
          <w:p w:rsidR="00284293" w:rsidRPr="00284293" w:rsidRDefault="00284293" w:rsidP="00716B14">
            <w:pPr>
              <w:jc w:val="center"/>
            </w:pPr>
            <w:r w:rsidRPr="00284293">
              <w:t>Bulunmamalı</w:t>
            </w:r>
          </w:p>
        </w:tc>
      </w:tr>
      <w:tr w:rsidR="00284293" w:rsidRPr="00284293" w:rsidTr="006120D0">
        <w:tblPrEx>
          <w:tblCellMar>
            <w:top w:w="0" w:type="dxa"/>
            <w:bottom w:w="0" w:type="dxa"/>
          </w:tblCellMar>
        </w:tblPrEx>
        <w:tc>
          <w:tcPr>
            <w:tcW w:w="6660" w:type="dxa"/>
          </w:tcPr>
          <w:p w:rsidR="00284293" w:rsidRPr="00284293" w:rsidRDefault="00284293" w:rsidP="00284293">
            <w:pPr>
              <w:rPr>
                <w:lang w:val="fr-FR"/>
              </w:rPr>
            </w:pPr>
            <w:r w:rsidRPr="00284293">
              <w:t xml:space="preserve">Meyve oranı % (m/m), en az </w:t>
            </w:r>
          </w:p>
        </w:tc>
        <w:tc>
          <w:tcPr>
            <w:tcW w:w="1440" w:type="dxa"/>
            <w:shd w:val="clear" w:color="auto" w:fill="auto"/>
          </w:tcPr>
          <w:p w:rsidR="00284293" w:rsidRPr="00284293" w:rsidRDefault="00284293" w:rsidP="00716B14">
            <w:pPr>
              <w:jc w:val="center"/>
            </w:pPr>
            <w:r w:rsidRPr="00284293">
              <w:t>40</w:t>
            </w:r>
          </w:p>
        </w:tc>
      </w:tr>
    </w:tbl>
    <w:p w:rsidR="00284293" w:rsidRDefault="00284293" w:rsidP="00284293">
      <w:pPr>
        <w:rPr>
          <w:b/>
        </w:rPr>
      </w:pPr>
    </w:p>
    <w:p w:rsidR="00716B14" w:rsidRPr="00284293" w:rsidRDefault="00716B14" w:rsidP="00284293">
      <w:pPr>
        <w:rPr>
          <w:b/>
        </w:rPr>
      </w:pPr>
    </w:p>
    <w:p w:rsidR="00284293" w:rsidRPr="00284293" w:rsidRDefault="00284293" w:rsidP="00284293">
      <w:pPr>
        <w:rPr>
          <w:b/>
        </w:rPr>
      </w:pPr>
      <w:r w:rsidRPr="00284293">
        <w:t>- Madde 4.2.3 “Mikrobiyolojik özellikler” standard metninden çıkarılmıştır</w:t>
      </w:r>
    </w:p>
    <w:p w:rsidR="00284293" w:rsidRPr="00284293" w:rsidRDefault="00284293" w:rsidP="00284293">
      <w:pPr>
        <w:rPr>
          <w:b/>
        </w:rPr>
      </w:pPr>
    </w:p>
    <w:p w:rsidR="00284293" w:rsidRPr="00284293" w:rsidRDefault="00284293" w:rsidP="00284293">
      <w:r w:rsidRPr="00284293">
        <w:t xml:space="preserve">- </w:t>
      </w:r>
      <w:r w:rsidR="00030508">
        <w:t>Çizelge 4 numarasıyla birlikte aşağıdaki biçimde değiştirilmiştir</w:t>
      </w:r>
      <w:r w:rsidRPr="00284293">
        <w:t xml:space="preserve"> </w:t>
      </w:r>
    </w:p>
    <w:p w:rsidR="00284293" w:rsidRPr="00284293" w:rsidRDefault="00284293" w:rsidP="00284293"/>
    <w:p w:rsidR="00284293" w:rsidRPr="00284293" w:rsidRDefault="00284293" w:rsidP="00284293">
      <w:r w:rsidRPr="00284293">
        <w:rPr>
          <w:b/>
        </w:rPr>
        <w:t xml:space="preserve">Çizelge </w:t>
      </w:r>
      <w:r w:rsidR="00030508">
        <w:rPr>
          <w:b/>
        </w:rPr>
        <w:t>3</w:t>
      </w:r>
      <w:r w:rsidRPr="00284293">
        <w:rPr>
          <w:b/>
        </w:rPr>
        <w:t xml:space="preserve"> -</w:t>
      </w:r>
      <w:r w:rsidRPr="00284293">
        <w:t xml:space="preserve"> Özellik, muayene ve deney madde numaralar</w:t>
      </w:r>
    </w:p>
    <w:p w:rsidR="00284293" w:rsidRPr="00284293" w:rsidRDefault="00284293" w:rsidP="00284293"/>
    <w:tbl>
      <w:tblPr>
        <w:tblW w:w="9170" w:type="dxa"/>
        <w:tblLayout w:type="fixed"/>
        <w:tblCellMar>
          <w:left w:w="70" w:type="dxa"/>
          <w:right w:w="70" w:type="dxa"/>
        </w:tblCellMar>
        <w:tblLook w:val="0000" w:firstRow="0" w:lastRow="0" w:firstColumn="0" w:lastColumn="0" w:noHBand="0" w:noVBand="0"/>
      </w:tblPr>
      <w:tblGrid>
        <w:gridCol w:w="3310"/>
        <w:gridCol w:w="2700"/>
        <w:gridCol w:w="3160"/>
      </w:tblGrid>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vAlign w:val="center"/>
          </w:tcPr>
          <w:p w:rsidR="00284293" w:rsidRPr="00284293" w:rsidRDefault="00284293" w:rsidP="00716B14">
            <w:pPr>
              <w:jc w:val="center"/>
            </w:pPr>
            <w:r w:rsidRPr="00284293">
              <w:t>Özellik</w:t>
            </w:r>
          </w:p>
        </w:tc>
        <w:tc>
          <w:tcPr>
            <w:tcW w:w="2700" w:type="dxa"/>
            <w:tcBorders>
              <w:top w:val="single" w:sz="4" w:space="0" w:color="auto"/>
              <w:left w:val="single" w:sz="4" w:space="0" w:color="auto"/>
              <w:bottom w:val="single" w:sz="4" w:space="0" w:color="auto"/>
              <w:right w:val="single" w:sz="4" w:space="0" w:color="auto"/>
            </w:tcBorders>
            <w:vAlign w:val="center"/>
          </w:tcPr>
          <w:p w:rsidR="00284293" w:rsidRPr="00284293" w:rsidRDefault="00284293" w:rsidP="00716B14">
            <w:pPr>
              <w:jc w:val="center"/>
            </w:pPr>
            <w:r w:rsidRPr="00284293">
              <w:t>Özellik madde no.</w:t>
            </w:r>
          </w:p>
        </w:tc>
        <w:tc>
          <w:tcPr>
            <w:tcW w:w="3160" w:type="dxa"/>
            <w:tcBorders>
              <w:top w:val="single" w:sz="4" w:space="0" w:color="auto"/>
              <w:left w:val="single" w:sz="4" w:space="0" w:color="auto"/>
              <w:bottom w:val="single" w:sz="4" w:space="0" w:color="auto"/>
              <w:right w:val="single" w:sz="4" w:space="0" w:color="auto"/>
            </w:tcBorders>
            <w:vAlign w:val="center"/>
          </w:tcPr>
          <w:p w:rsidR="00284293" w:rsidRPr="00284293" w:rsidRDefault="00284293" w:rsidP="00716B14">
            <w:pPr>
              <w:jc w:val="center"/>
            </w:pPr>
            <w:r w:rsidRPr="00284293">
              <w:t>Muayene ve deney madde no.</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Ambalaj</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6.1 ve 6.2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5.2.1</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Duyusal</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4.2.1</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5.2.2</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Laktik asit</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5.3.1</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 xml:space="preserve">Uçucu asit </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5.3.2</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Etil alkol</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5.3.3</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HMF</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5.3.4</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Kimyasal koruyucu madde</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5.3.5</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Meyve oranı</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4.2.2</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5.3.6</w:t>
            </w:r>
          </w:p>
        </w:tc>
      </w:tr>
      <w:tr w:rsidR="00284293" w:rsidRPr="00284293" w:rsidTr="006120D0">
        <w:tblPrEx>
          <w:tblCellMar>
            <w:top w:w="0" w:type="dxa"/>
            <w:bottom w:w="0" w:type="dxa"/>
          </w:tblCellMar>
        </w:tblPrEx>
        <w:tc>
          <w:tcPr>
            <w:tcW w:w="3310" w:type="dxa"/>
            <w:tcBorders>
              <w:top w:val="single" w:sz="4" w:space="0" w:color="auto"/>
              <w:left w:val="single" w:sz="4" w:space="0" w:color="auto"/>
              <w:bottom w:val="single" w:sz="4" w:space="0" w:color="auto"/>
              <w:right w:val="single" w:sz="4" w:space="0" w:color="auto"/>
            </w:tcBorders>
          </w:tcPr>
          <w:p w:rsidR="00284293" w:rsidRPr="00284293" w:rsidRDefault="00284293" w:rsidP="00284293">
            <w:r w:rsidRPr="00284293">
              <w:t>Dolum oranı</w:t>
            </w:r>
          </w:p>
        </w:tc>
        <w:tc>
          <w:tcPr>
            <w:tcW w:w="270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6.1</w:t>
            </w:r>
          </w:p>
        </w:tc>
        <w:tc>
          <w:tcPr>
            <w:tcW w:w="3160" w:type="dxa"/>
            <w:tcBorders>
              <w:top w:val="single" w:sz="4" w:space="0" w:color="auto"/>
              <w:left w:val="single" w:sz="4" w:space="0" w:color="auto"/>
              <w:bottom w:val="single" w:sz="4" w:space="0" w:color="auto"/>
              <w:right w:val="single" w:sz="4" w:space="0" w:color="auto"/>
            </w:tcBorders>
          </w:tcPr>
          <w:p w:rsidR="00284293" w:rsidRPr="00284293" w:rsidRDefault="00284293" w:rsidP="00716B14">
            <w:pPr>
              <w:jc w:val="center"/>
            </w:pPr>
            <w:r w:rsidRPr="00284293">
              <w:t>5.3.7</w:t>
            </w:r>
          </w:p>
        </w:tc>
      </w:tr>
    </w:tbl>
    <w:p w:rsidR="00284293" w:rsidRPr="00284293" w:rsidRDefault="00284293" w:rsidP="00284293"/>
    <w:p w:rsidR="00284293" w:rsidRPr="00284293" w:rsidRDefault="00284293" w:rsidP="00284293"/>
    <w:p w:rsidR="006F1B78" w:rsidRDefault="00284293" w:rsidP="00716B14">
      <w:r w:rsidRPr="00284293">
        <w:t>- Madde 5.3.1 “Çözünür katı madde tayini”, Madde 5.3.2 “Titrasyon asitliği tayini”, Madde 5.3.8 “Metallik madde tayini”, Madde 5.3.10 “Mezofilik aerobik bakteri tayini”, Madde 5.3.11 “Küf ve maya tayini ve Madde 5.3.12 “Koliform bakteri (EMS) tayini” standard metninden çıkartılmıştır.  Madde numaraları uygun biçimde teselsül ettirilmiştir.</w:t>
      </w:r>
    </w:p>
    <w:sectPr w:rsidR="006F1B78" w:rsidSect="007536F2">
      <w:pgSz w:w="11906" w:h="16838" w:code="9"/>
      <w:pgMar w:top="1418" w:right="1134" w:bottom="1134" w:left="1134"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27808"/>
    <w:multiLevelType w:val="hybridMultilevel"/>
    <w:tmpl w:val="31EC7674"/>
    <w:lvl w:ilvl="0" w:tplc="0E2ABE04">
      <w:numFmt w:val="bullet"/>
      <w:lvlText w:val="-"/>
      <w:lvlJc w:val="left"/>
      <w:pPr>
        <w:tabs>
          <w:tab w:val="num" w:pos="397"/>
        </w:tabs>
        <w:ind w:left="397" w:hanging="397"/>
      </w:pPr>
      <w:rPr>
        <w:rFonts w:ascii="Arial" w:hAnsi="Arial" w:hint="default"/>
        <w:b w:val="0"/>
        <w:i w:val="0"/>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9B72ED"/>
    <w:multiLevelType w:val="hybridMultilevel"/>
    <w:tmpl w:val="02CCA2E4"/>
    <w:lvl w:ilvl="0" w:tplc="53429F26">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666B17"/>
    <w:multiLevelType w:val="multilevel"/>
    <w:tmpl w:val="B05AE92A"/>
    <w:lvl w:ilvl="0">
      <w:start w:val="1"/>
      <w:numFmt w:val="decimal"/>
      <w:suff w:val="space"/>
      <w:lvlText w:val="%1"/>
      <w:lvlJc w:val="left"/>
      <w:pPr>
        <w:ind w:left="0" w:firstLine="0"/>
      </w:pPr>
      <w:rPr>
        <w:rFonts w:hint="default"/>
      </w:rPr>
    </w:lvl>
    <w:lvl w:ilvl="1">
      <w:start w:val="1"/>
      <w:numFmt w:val="decimal"/>
      <w:suff w:val="space"/>
      <w:lvlText w:val="%1.%2"/>
      <w:lvlJc w:val="left"/>
      <w:pPr>
        <w:ind w:left="0" w:hanging="1"/>
      </w:pPr>
      <w:rPr>
        <w:rFonts w:ascii="Arial" w:hAnsi="Arial" w:hint="default"/>
        <w:b/>
        <w:i w:val="0"/>
        <w:sz w:val="20"/>
        <w:szCs w:val="24"/>
      </w:rPr>
    </w:lvl>
    <w:lvl w:ilvl="2">
      <w:start w:val="1"/>
      <w:numFmt w:val="decimal"/>
      <w:suff w:val="space"/>
      <w:lvlText w:val="%1.%2.%3"/>
      <w:lvlJc w:val="left"/>
      <w:pPr>
        <w:ind w:left="0" w:hanging="1"/>
      </w:pPr>
      <w:rPr>
        <w:rFonts w:ascii="Arial" w:hAnsi="Arial" w:hint="default"/>
        <w:b/>
        <w:i w:val="0"/>
        <w:sz w:val="20"/>
        <w:szCs w:val="22"/>
      </w:rPr>
    </w:lvl>
    <w:lvl w:ilvl="3">
      <w:start w:val="1"/>
      <w:numFmt w:val="decimal"/>
      <w:suff w:val="space"/>
      <w:lvlText w:val="%1.%2.%3.%4"/>
      <w:lvlJc w:val="left"/>
      <w:pPr>
        <w:ind w:left="0" w:firstLine="0"/>
      </w:pPr>
      <w:rPr>
        <w:rFonts w:ascii="Arial" w:hAnsi="Arial" w:hint="default"/>
        <w:b/>
        <w:i w:val="0"/>
        <w:sz w:val="20"/>
        <w:szCs w:val="22"/>
      </w:rPr>
    </w:lvl>
    <w:lvl w:ilvl="4">
      <w:start w:val="1"/>
      <w:numFmt w:val="decimal"/>
      <w:suff w:val="space"/>
      <w:lvlText w:val="%1.%2.%3.%4.%5"/>
      <w:lvlJc w:val="left"/>
      <w:pPr>
        <w:ind w:left="0" w:firstLine="0"/>
      </w:pPr>
      <w:rPr>
        <w:rFonts w:ascii="Arial" w:hAnsi="Arial" w:hint="default"/>
        <w:b/>
        <w:i w:val="0"/>
        <w:sz w:val="22"/>
        <w:szCs w:val="22"/>
      </w:rPr>
    </w:lvl>
    <w:lvl w:ilvl="5">
      <w:start w:val="1"/>
      <w:numFmt w:val="decimal"/>
      <w:suff w:val="space"/>
      <w:lvlText w:val="%1.%2.%3.%4.%5.%6"/>
      <w:lvlJc w:val="left"/>
      <w:pPr>
        <w:ind w:left="1328" w:hanging="1509"/>
      </w:pPr>
      <w:rPr>
        <w:rFonts w:ascii="Arial" w:hAnsi="Arial" w:hint="default"/>
        <w:b/>
        <w:i w:val="0"/>
        <w:sz w:val="22"/>
        <w:szCs w:val="22"/>
      </w:rPr>
    </w:lvl>
    <w:lvl w:ilvl="6">
      <w:start w:val="1"/>
      <w:numFmt w:val="decimal"/>
      <w:suff w:val="space"/>
      <w:lvlText w:val="%1.%2.%3.%4.%5.%6.%7"/>
      <w:lvlJc w:val="left"/>
      <w:pPr>
        <w:ind w:left="1472" w:hanging="1653"/>
      </w:pPr>
      <w:rPr>
        <w:rFonts w:ascii="Arial" w:hAnsi="Arial" w:hint="default"/>
        <w:b/>
        <w:i w:val="0"/>
        <w:sz w:val="22"/>
        <w:szCs w:val="22"/>
      </w:rPr>
    </w:lvl>
    <w:lvl w:ilvl="7">
      <w:start w:val="1"/>
      <w:numFmt w:val="decimal"/>
      <w:suff w:val="space"/>
      <w:lvlText w:val="%1.%2.%3.%4.%5.%6.%7.%8"/>
      <w:lvlJc w:val="left"/>
      <w:pPr>
        <w:ind w:left="1616" w:hanging="1797"/>
      </w:pPr>
      <w:rPr>
        <w:rFonts w:ascii="Arial" w:hAnsi="Arial" w:hint="default"/>
        <w:b/>
        <w:i w:val="0"/>
        <w:sz w:val="22"/>
        <w:szCs w:val="22"/>
      </w:rPr>
    </w:lvl>
    <w:lvl w:ilvl="8">
      <w:start w:val="1"/>
      <w:numFmt w:val="decimal"/>
      <w:suff w:val="space"/>
      <w:lvlText w:val="%1.%2.%3.%4.%5.%6.%7.%8.%9"/>
      <w:lvlJc w:val="left"/>
      <w:pPr>
        <w:ind w:left="1760" w:hanging="1941"/>
      </w:pPr>
      <w:rPr>
        <w:rFonts w:ascii="Arial" w:hAnsi="Arial" w:hint="default"/>
        <w:b/>
        <w:i w:val="0"/>
        <w:sz w:val="22"/>
        <w:szCs w:val="22"/>
      </w:rPr>
    </w:lvl>
  </w:abstractNum>
  <w:abstractNum w:abstractNumId="3" w15:restartNumberingAfterBreak="0">
    <w:nsid w:val="1F874523"/>
    <w:multiLevelType w:val="hybridMultilevel"/>
    <w:tmpl w:val="05B694B2"/>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97B038F"/>
    <w:multiLevelType w:val="hybridMultilevel"/>
    <w:tmpl w:val="67A80B36"/>
    <w:lvl w:ilvl="0" w:tplc="5A48E2AC">
      <w:start w:val="1700"/>
      <w:numFmt w:val="bullet"/>
      <w:lvlText w:val="-"/>
      <w:lvlJc w:val="left"/>
      <w:pPr>
        <w:ind w:left="720" w:hanging="360"/>
      </w:pPr>
      <w:rPr>
        <w:rFonts w:ascii="Arial" w:eastAsia="Times New Roman" w:hAnsi="Arial" w:cs="Arial" w:hint="default"/>
        <w:b w:val="0"/>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2D926C80"/>
    <w:multiLevelType w:val="multilevel"/>
    <w:tmpl w:val="D778D32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4F84AAA"/>
    <w:multiLevelType w:val="hybridMultilevel"/>
    <w:tmpl w:val="E108B4C0"/>
    <w:lvl w:ilvl="0" w:tplc="70E0CA86">
      <w:start w:val="1"/>
      <w:numFmt w:val="bullet"/>
      <w:lvlText w:val="-"/>
      <w:lvlJc w:val="left"/>
      <w:pPr>
        <w:tabs>
          <w:tab w:val="num" w:pos="360"/>
        </w:tabs>
        <w:ind w:left="360" w:hanging="360"/>
      </w:pPr>
      <w:rPr>
        <w:rFonts w:ascii="Times New Roman" w:eastAsia="Times New Roman" w:hAnsi="Times New Roman" w:cs="Times New Roman"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7" w15:restartNumberingAfterBreak="0">
    <w:nsid w:val="358B638B"/>
    <w:multiLevelType w:val="hybridMultilevel"/>
    <w:tmpl w:val="4F2A5658"/>
    <w:lvl w:ilvl="0" w:tplc="53429F2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37A57338"/>
    <w:multiLevelType w:val="hybridMultilevel"/>
    <w:tmpl w:val="D834F6D8"/>
    <w:lvl w:ilvl="0" w:tplc="6F00E656">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44E07660"/>
    <w:multiLevelType w:val="hybridMultilevel"/>
    <w:tmpl w:val="2E5CE1F4"/>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cs="Aria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65C4E88"/>
    <w:multiLevelType w:val="hybridMultilevel"/>
    <w:tmpl w:val="BF12AD3E"/>
    <w:lvl w:ilvl="0" w:tplc="53429F26">
      <w:numFmt w:val="bullet"/>
      <w:lvlText w:val="-"/>
      <w:lvlJc w:val="left"/>
      <w:pPr>
        <w:ind w:left="720" w:hanging="360"/>
      </w:pPr>
      <w:rPr>
        <w:rFonts w:ascii="Arial" w:eastAsia="Times New Roman"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8451EBF"/>
    <w:multiLevelType w:val="hybridMultilevel"/>
    <w:tmpl w:val="990A87B0"/>
    <w:lvl w:ilvl="0" w:tplc="DA988244">
      <w:start w:val="2"/>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73E84E40"/>
    <w:multiLevelType w:val="hybridMultilevel"/>
    <w:tmpl w:val="4B068984"/>
    <w:lvl w:ilvl="0" w:tplc="9E5823DA">
      <w:start w:val="1"/>
      <w:numFmt w:val="decimal"/>
      <w:lvlText w:val="%1."/>
      <w:lvlJc w:val="left"/>
      <w:pPr>
        <w:tabs>
          <w:tab w:val="num" w:pos="284"/>
        </w:tabs>
        <w:ind w:left="284" w:hanging="284"/>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740C48A6"/>
    <w:multiLevelType w:val="hybridMultilevel"/>
    <w:tmpl w:val="559A66BC"/>
    <w:lvl w:ilvl="0" w:tplc="C6681072">
      <w:start w:val="1"/>
      <w:numFmt w:val="bullet"/>
      <w:lvlText w:val=""/>
      <w:lvlJc w:val="left"/>
      <w:pPr>
        <w:tabs>
          <w:tab w:val="num" w:pos="284"/>
        </w:tabs>
        <w:ind w:left="284" w:hanging="284"/>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5"/>
  </w:num>
  <w:num w:numId="3">
    <w:abstractNumId w:val="13"/>
  </w:num>
  <w:num w:numId="4">
    <w:abstractNumId w:val="14"/>
  </w:num>
  <w:num w:numId="5">
    <w:abstractNumId w:val="10"/>
  </w:num>
  <w:num w:numId="6">
    <w:abstractNumId w:val="1"/>
  </w:num>
  <w:num w:numId="7">
    <w:abstractNumId w:val="12"/>
  </w:num>
  <w:num w:numId="8">
    <w:abstractNumId w:val="9"/>
  </w:num>
  <w:num w:numId="9">
    <w:abstractNumId w:val="3"/>
  </w:num>
  <w:num w:numId="10">
    <w:abstractNumId w:val="6"/>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7"/>
  </w:num>
  <w:num w:numId="14">
    <w:abstractNumId w:val="11"/>
  </w:num>
  <w:num w:numId="15">
    <w:abstractNumId w:val="8"/>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96"/>
  <w:hideSpellingErrors/>
  <w:activeWritingStyle w:appName="MSWord" w:lang="en-AU"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1lzhkBJ0nDj3H/OsDx25fuzH4aP3ZaVI+Yf7yUR5SXCFPacJhCd/wOrTBkJJb42BFGRpC8bpbc1zu5pONUlb3g==" w:salt="THQLirkXsnYFpdxYJBQpdg=="/>
  <w:defaultTabStop w:val="708"/>
  <w:hyphenationZone w:val="425"/>
  <w:evenAndOddHeaders/>
  <w:drawingGridHorizontalSpacing w:val="100"/>
  <w:drawingGridVerticalSpacing w:val="136"/>
  <w:displayHorizontalDrawingGridEvery w:val="0"/>
  <w:displayVerticalDrawingGridEvery w:val="2"/>
  <w:noPunctuationKerning/>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577"/>
    <w:rsid w:val="00002341"/>
    <w:rsid w:val="0001046D"/>
    <w:rsid w:val="00013269"/>
    <w:rsid w:val="00017806"/>
    <w:rsid w:val="00027CE2"/>
    <w:rsid w:val="000300AA"/>
    <w:rsid w:val="0003013C"/>
    <w:rsid w:val="00030508"/>
    <w:rsid w:val="00032838"/>
    <w:rsid w:val="00035928"/>
    <w:rsid w:val="00063C7A"/>
    <w:rsid w:val="00081544"/>
    <w:rsid w:val="0009026D"/>
    <w:rsid w:val="0009502F"/>
    <w:rsid w:val="0009787A"/>
    <w:rsid w:val="000A390B"/>
    <w:rsid w:val="000B1A86"/>
    <w:rsid w:val="000B6135"/>
    <w:rsid w:val="000C762F"/>
    <w:rsid w:val="000D3F1E"/>
    <w:rsid w:val="000D532C"/>
    <w:rsid w:val="000D6C66"/>
    <w:rsid w:val="000D7B12"/>
    <w:rsid w:val="000E4287"/>
    <w:rsid w:val="000E77D9"/>
    <w:rsid w:val="001014EF"/>
    <w:rsid w:val="00111DD9"/>
    <w:rsid w:val="0011407F"/>
    <w:rsid w:val="00114F93"/>
    <w:rsid w:val="00116435"/>
    <w:rsid w:val="00116B8F"/>
    <w:rsid w:val="00132BAE"/>
    <w:rsid w:val="001468A6"/>
    <w:rsid w:val="00150C9E"/>
    <w:rsid w:val="0015407B"/>
    <w:rsid w:val="00156F9D"/>
    <w:rsid w:val="0017796D"/>
    <w:rsid w:val="00181FB3"/>
    <w:rsid w:val="00184586"/>
    <w:rsid w:val="0019077F"/>
    <w:rsid w:val="00191B57"/>
    <w:rsid w:val="0019439E"/>
    <w:rsid w:val="0019521F"/>
    <w:rsid w:val="001A2100"/>
    <w:rsid w:val="001B6676"/>
    <w:rsid w:val="001D0DF1"/>
    <w:rsid w:val="001E39C6"/>
    <w:rsid w:val="001E5E85"/>
    <w:rsid w:val="001E73EE"/>
    <w:rsid w:val="001F0710"/>
    <w:rsid w:val="001F3870"/>
    <w:rsid w:val="002152FD"/>
    <w:rsid w:val="002155AD"/>
    <w:rsid w:val="002240A0"/>
    <w:rsid w:val="00224F57"/>
    <w:rsid w:val="00234109"/>
    <w:rsid w:val="00244938"/>
    <w:rsid w:val="00246A6F"/>
    <w:rsid w:val="00257585"/>
    <w:rsid w:val="00274455"/>
    <w:rsid w:val="00276ADC"/>
    <w:rsid w:val="002773BC"/>
    <w:rsid w:val="00284293"/>
    <w:rsid w:val="00284712"/>
    <w:rsid w:val="00285C66"/>
    <w:rsid w:val="00296FBB"/>
    <w:rsid w:val="002A452D"/>
    <w:rsid w:val="002B505C"/>
    <w:rsid w:val="002C3403"/>
    <w:rsid w:val="002C7E73"/>
    <w:rsid w:val="002D70D2"/>
    <w:rsid w:val="002E27FD"/>
    <w:rsid w:val="002E6439"/>
    <w:rsid w:val="002F0CA4"/>
    <w:rsid w:val="00306E2E"/>
    <w:rsid w:val="00310D60"/>
    <w:rsid w:val="00326C4D"/>
    <w:rsid w:val="003367B2"/>
    <w:rsid w:val="00350782"/>
    <w:rsid w:val="00355982"/>
    <w:rsid w:val="003560BA"/>
    <w:rsid w:val="00356A1A"/>
    <w:rsid w:val="0036129D"/>
    <w:rsid w:val="00380BBA"/>
    <w:rsid w:val="003829B1"/>
    <w:rsid w:val="00384577"/>
    <w:rsid w:val="00390845"/>
    <w:rsid w:val="003A314D"/>
    <w:rsid w:val="003A3F96"/>
    <w:rsid w:val="003A7124"/>
    <w:rsid w:val="003B5861"/>
    <w:rsid w:val="003D220D"/>
    <w:rsid w:val="003D7237"/>
    <w:rsid w:val="003E32D2"/>
    <w:rsid w:val="003F0858"/>
    <w:rsid w:val="003F6E09"/>
    <w:rsid w:val="00411A0D"/>
    <w:rsid w:val="004269BB"/>
    <w:rsid w:val="00430604"/>
    <w:rsid w:val="0043284F"/>
    <w:rsid w:val="004334A6"/>
    <w:rsid w:val="00436BA2"/>
    <w:rsid w:val="00441CF4"/>
    <w:rsid w:val="004538E2"/>
    <w:rsid w:val="0045630E"/>
    <w:rsid w:val="004676E7"/>
    <w:rsid w:val="00467A64"/>
    <w:rsid w:val="00470FF2"/>
    <w:rsid w:val="00471E0E"/>
    <w:rsid w:val="00475760"/>
    <w:rsid w:val="00484AA9"/>
    <w:rsid w:val="00496A9E"/>
    <w:rsid w:val="004A7448"/>
    <w:rsid w:val="004A799D"/>
    <w:rsid w:val="004B1067"/>
    <w:rsid w:val="004B7C25"/>
    <w:rsid w:val="004D06FB"/>
    <w:rsid w:val="004E2169"/>
    <w:rsid w:val="004E5FFF"/>
    <w:rsid w:val="0052279D"/>
    <w:rsid w:val="005265A2"/>
    <w:rsid w:val="00527CA7"/>
    <w:rsid w:val="005339EC"/>
    <w:rsid w:val="00534E8B"/>
    <w:rsid w:val="005414AD"/>
    <w:rsid w:val="00544687"/>
    <w:rsid w:val="0054520A"/>
    <w:rsid w:val="005503B3"/>
    <w:rsid w:val="00553B34"/>
    <w:rsid w:val="00555F7C"/>
    <w:rsid w:val="00556057"/>
    <w:rsid w:val="005569A9"/>
    <w:rsid w:val="00560055"/>
    <w:rsid w:val="00563910"/>
    <w:rsid w:val="00564C09"/>
    <w:rsid w:val="0056767B"/>
    <w:rsid w:val="00576A78"/>
    <w:rsid w:val="00580F1A"/>
    <w:rsid w:val="00592853"/>
    <w:rsid w:val="00596ED7"/>
    <w:rsid w:val="005A0226"/>
    <w:rsid w:val="005A56EF"/>
    <w:rsid w:val="005C23AA"/>
    <w:rsid w:val="005C28F5"/>
    <w:rsid w:val="005D037F"/>
    <w:rsid w:val="005D69F5"/>
    <w:rsid w:val="005E7B48"/>
    <w:rsid w:val="005F35FA"/>
    <w:rsid w:val="005F74F5"/>
    <w:rsid w:val="006120D0"/>
    <w:rsid w:val="00615ECC"/>
    <w:rsid w:val="006164C0"/>
    <w:rsid w:val="006236CB"/>
    <w:rsid w:val="00625BA0"/>
    <w:rsid w:val="00645CF9"/>
    <w:rsid w:val="0065112D"/>
    <w:rsid w:val="00660FA4"/>
    <w:rsid w:val="00661C20"/>
    <w:rsid w:val="00670DE5"/>
    <w:rsid w:val="00675D99"/>
    <w:rsid w:val="006A1DC5"/>
    <w:rsid w:val="006A480C"/>
    <w:rsid w:val="006B2B64"/>
    <w:rsid w:val="006B48C5"/>
    <w:rsid w:val="006C66F4"/>
    <w:rsid w:val="006D2B12"/>
    <w:rsid w:val="006D567A"/>
    <w:rsid w:val="006F1B78"/>
    <w:rsid w:val="007045DD"/>
    <w:rsid w:val="007130AF"/>
    <w:rsid w:val="00716B14"/>
    <w:rsid w:val="00720236"/>
    <w:rsid w:val="00723ECD"/>
    <w:rsid w:val="00724613"/>
    <w:rsid w:val="007310C6"/>
    <w:rsid w:val="0073601D"/>
    <w:rsid w:val="00737992"/>
    <w:rsid w:val="0074285F"/>
    <w:rsid w:val="007432C9"/>
    <w:rsid w:val="00750F74"/>
    <w:rsid w:val="007536F2"/>
    <w:rsid w:val="007537CC"/>
    <w:rsid w:val="00764EED"/>
    <w:rsid w:val="0077012A"/>
    <w:rsid w:val="007713CF"/>
    <w:rsid w:val="00773EEC"/>
    <w:rsid w:val="00777707"/>
    <w:rsid w:val="00787C8E"/>
    <w:rsid w:val="007905B3"/>
    <w:rsid w:val="00795738"/>
    <w:rsid w:val="007B53EA"/>
    <w:rsid w:val="007C51AB"/>
    <w:rsid w:val="007D0595"/>
    <w:rsid w:val="007D096F"/>
    <w:rsid w:val="007E4D95"/>
    <w:rsid w:val="007F4F90"/>
    <w:rsid w:val="007F4FC5"/>
    <w:rsid w:val="00800618"/>
    <w:rsid w:val="0081500E"/>
    <w:rsid w:val="008167A2"/>
    <w:rsid w:val="00817217"/>
    <w:rsid w:val="00817BF2"/>
    <w:rsid w:val="00830F72"/>
    <w:rsid w:val="0083615A"/>
    <w:rsid w:val="008368FE"/>
    <w:rsid w:val="00842768"/>
    <w:rsid w:val="00842BFB"/>
    <w:rsid w:val="00843951"/>
    <w:rsid w:val="00844FFB"/>
    <w:rsid w:val="00846741"/>
    <w:rsid w:val="00850DA2"/>
    <w:rsid w:val="00854922"/>
    <w:rsid w:val="00856055"/>
    <w:rsid w:val="00864DBD"/>
    <w:rsid w:val="008755AA"/>
    <w:rsid w:val="0087724D"/>
    <w:rsid w:val="00883527"/>
    <w:rsid w:val="008932FF"/>
    <w:rsid w:val="00897082"/>
    <w:rsid w:val="008976FE"/>
    <w:rsid w:val="008A1852"/>
    <w:rsid w:val="008A7804"/>
    <w:rsid w:val="008B27D0"/>
    <w:rsid w:val="008B7A97"/>
    <w:rsid w:val="008D5179"/>
    <w:rsid w:val="008E09C1"/>
    <w:rsid w:val="008E1C11"/>
    <w:rsid w:val="009026A2"/>
    <w:rsid w:val="009165AA"/>
    <w:rsid w:val="009220FD"/>
    <w:rsid w:val="009248D9"/>
    <w:rsid w:val="00924DA7"/>
    <w:rsid w:val="00945EE6"/>
    <w:rsid w:val="009469FC"/>
    <w:rsid w:val="0095160A"/>
    <w:rsid w:val="0095284A"/>
    <w:rsid w:val="00955EB8"/>
    <w:rsid w:val="00974DA7"/>
    <w:rsid w:val="00981D4D"/>
    <w:rsid w:val="00987592"/>
    <w:rsid w:val="00994100"/>
    <w:rsid w:val="0099658A"/>
    <w:rsid w:val="009A0BC7"/>
    <w:rsid w:val="009A2DB5"/>
    <w:rsid w:val="009A6919"/>
    <w:rsid w:val="009A70F1"/>
    <w:rsid w:val="009A79E7"/>
    <w:rsid w:val="009A7C55"/>
    <w:rsid w:val="009B2A93"/>
    <w:rsid w:val="009B5253"/>
    <w:rsid w:val="009B68A2"/>
    <w:rsid w:val="009D35C1"/>
    <w:rsid w:val="009D55FE"/>
    <w:rsid w:val="009E5FC8"/>
    <w:rsid w:val="009F0555"/>
    <w:rsid w:val="009F3267"/>
    <w:rsid w:val="009F367B"/>
    <w:rsid w:val="009F3903"/>
    <w:rsid w:val="00A101A8"/>
    <w:rsid w:val="00A12EE3"/>
    <w:rsid w:val="00A16B7E"/>
    <w:rsid w:val="00A322B2"/>
    <w:rsid w:val="00A36726"/>
    <w:rsid w:val="00A4064C"/>
    <w:rsid w:val="00A50898"/>
    <w:rsid w:val="00A56D41"/>
    <w:rsid w:val="00A608DD"/>
    <w:rsid w:val="00A65612"/>
    <w:rsid w:val="00A67589"/>
    <w:rsid w:val="00A7036D"/>
    <w:rsid w:val="00A725DC"/>
    <w:rsid w:val="00A7317A"/>
    <w:rsid w:val="00A75566"/>
    <w:rsid w:val="00A767BD"/>
    <w:rsid w:val="00A8364E"/>
    <w:rsid w:val="00A86F1C"/>
    <w:rsid w:val="00A9671A"/>
    <w:rsid w:val="00AA6971"/>
    <w:rsid w:val="00AB5B87"/>
    <w:rsid w:val="00AC5E3F"/>
    <w:rsid w:val="00AD2AAE"/>
    <w:rsid w:val="00AD2F9C"/>
    <w:rsid w:val="00AD6D78"/>
    <w:rsid w:val="00AD7DD9"/>
    <w:rsid w:val="00AE14B1"/>
    <w:rsid w:val="00AE7FCE"/>
    <w:rsid w:val="00AF64A9"/>
    <w:rsid w:val="00AF73FE"/>
    <w:rsid w:val="00B049E4"/>
    <w:rsid w:val="00B05A7B"/>
    <w:rsid w:val="00B11932"/>
    <w:rsid w:val="00B12966"/>
    <w:rsid w:val="00B200FD"/>
    <w:rsid w:val="00B27CBB"/>
    <w:rsid w:val="00B37225"/>
    <w:rsid w:val="00B37AF9"/>
    <w:rsid w:val="00B64A37"/>
    <w:rsid w:val="00B65EF1"/>
    <w:rsid w:val="00B708D7"/>
    <w:rsid w:val="00B712A3"/>
    <w:rsid w:val="00B741C4"/>
    <w:rsid w:val="00B82436"/>
    <w:rsid w:val="00B83626"/>
    <w:rsid w:val="00B86ABA"/>
    <w:rsid w:val="00B874AF"/>
    <w:rsid w:val="00B934BD"/>
    <w:rsid w:val="00B93E5D"/>
    <w:rsid w:val="00BA4339"/>
    <w:rsid w:val="00BA647E"/>
    <w:rsid w:val="00BB5562"/>
    <w:rsid w:val="00BC49A6"/>
    <w:rsid w:val="00BC7221"/>
    <w:rsid w:val="00BC7F0E"/>
    <w:rsid w:val="00BD2F29"/>
    <w:rsid w:val="00BE1143"/>
    <w:rsid w:val="00BF6012"/>
    <w:rsid w:val="00BF66CC"/>
    <w:rsid w:val="00BF7BC7"/>
    <w:rsid w:val="00C06283"/>
    <w:rsid w:val="00C078F3"/>
    <w:rsid w:val="00C1012F"/>
    <w:rsid w:val="00C16E8D"/>
    <w:rsid w:val="00C20E22"/>
    <w:rsid w:val="00C235BA"/>
    <w:rsid w:val="00C271D7"/>
    <w:rsid w:val="00C34B4B"/>
    <w:rsid w:val="00C50604"/>
    <w:rsid w:val="00C64D39"/>
    <w:rsid w:val="00C70674"/>
    <w:rsid w:val="00C74D0A"/>
    <w:rsid w:val="00C82901"/>
    <w:rsid w:val="00C8503D"/>
    <w:rsid w:val="00C87551"/>
    <w:rsid w:val="00C95B88"/>
    <w:rsid w:val="00CA25B1"/>
    <w:rsid w:val="00CA4041"/>
    <w:rsid w:val="00CA4496"/>
    <w:rsid w:val="00CB3A25"/>
    <w:rsid w:val="00CC6221"/>
    <w:rsid w:val="00D04CA2"/>
    <w:rsid w:val="00D11FF7"/>
    <w:rsid w:val="00D13A1C"/>
    <w:rsid w:val="00D16B56"/>
    <w:rsid w:val="00D3216C"/>
    <w:rsid w:val="00D3647A"/>
    <w:rsid w:val="00D427C7"/>
    <w:rsid w:val="00D547DC"/>
    <w:rsid w:val="00D67DBA"/>
    <w:rsid w:val="00D75AC8"/>
    <w:rsid w:val="00D76EFA"/>
    <w:rsid w:val="00D80FC0"/>
    <w:rsid w:val="00D81FF5"/>
    <w:rsid w:val="00D85A2D"/>
    <w:rsid w:val="00D94EF4"/>
    <w:rsid w:val="00D97799"/>
    <w:rsid w:val="00D97DA2"/>
    <w:rsid w:val="00DA00E5"/>
    <w:rsid w:val="00DA41C2"/>
    <w:rsid w:val="00DC4BD7"/>
    <w:rsid w:val="00DC6681"/>
    <w:rsid w:val="00DC67BD"/>
    <w:rsid w:val="00DD0A42"/>
    <w:rsid w:val="00DD5FD3"/>
    <w:rsid w:val="00DD6CBE"/>
    <w:rsid w:val="00DE3CC9"/>
    <w:rsid w:val="00DF0A2E"/>
    <w:rsid w:val="00E028A8"/>
    <w:rsid w:val="00E06D2A"/>
    <w:rsid w:val="00E1553B"/>
    <w:rsid w:val="00E16A1B"/>
    <w:rsid w:val="00E22F07"/>
    <w:rsid w:val="00E23E7B"/>
    <w:rsid w:val="00E25EFF"/>
    <w:rsid w:val="00E266A1"/>
    <w:rsid w:val="00E3148D"/>
    <w:rsid w:val="00E37DB9"/>
    <w:rsid w:val="00E421BF"/>
    <w:rsid w:val="00E471D7"/>
    <w:rsid w:val="00E472D0"/>
    <w:rsid w:val="00E56FD6"/>
    <w:rsid w:val="00E65150"/>
    <w:rsid w:val="00E7246C"/>
    <w:rsid w:val="00E74D6E"/>
    <w:rsid w:val="00E85C61"/>
    <w:rsid w:val="00EA3AB3"/>
    <w:rsid w:val="00EA6152"/>
    <w:rsid w:val="00EA69EA"/>
    <w:rsid w:val="00EC3CFC"/>
    <w:rsid w:val="00EC7DC2"/>
    <w:rsid w:val="00ED61DA"/>
    <w:rsid w:val="00ED70DE"/>
    <w:rsid w:val="00EE2006"/>
    <w:rsid w:val="00EF1C41"/>
    <w:rsid w:val="00EF1CF3"/>
    <w:rsid w:val="00EF3CDA"/>
    <w:rsid w:val="00F01DD5"/>
    <w:rsid w:val="00F029A2"/>
    <w:rsid w:val="00F04400"/>
    <w:rsid w:val="00F049B6"/>
    <w:rsid w:val="00F11025"/>
    <w:rsid w:val="00F121C1"/>
    <w:rsid w:val="00F12C61"/>
    <w:rsid w:val="00F143FB"/>
    <w:rsid w:val="00F213B8"/>
    <w:rsid w:val="00F22D98"/>
    <w:rsid w:val="00F22EBC"/>
    <w:rsid w:val="00F27A93"/>
    <w:rsid w:val="00F33C59"/>
    <w:rsid w:val="00F33DCF"/>
    <w:rsid w:val="00F36888"/>
    <w:rsid w:val="00F476CA"/>
    <w:rsid w:val="00F50E0F"/>
    <w:rsid w:val="00F5647D"/>
    <w:rsid w:val="00F75051"/>
    <w:rsid w:val="00F7652E"/>
    <w:rsid w:val="00F823C9"/>
    <w:rsid w:val="00FB26C3"/>
    <w:rsid w:val="00FC4C17"/>
    <w:rsid w:val="00FD0799"/>
    <w:rsid w:val="00FD1992"/>
    <w:rsid w:val="00FE2456"/>
    <w:rsid w:val="00FF109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37F2470B-6E91-48FC-BD10-550CC317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3EEC"/>
    <w:pPr>
      <w:jc w:val="both"/>
    </w:pPr>
    <w:rPr>
      <w:rFonts w:ascii="Arial" w:hAnsi="Arial"/>
      <w:noProof/>
    </w:rPr>
  </w:style>
  <w:style w:type="paragraph" w:styleId="Balk1">
    <w:name w:val="heading 1"/>
    <w:aliases w:val="Başlık 1 Char,1 Heading,baslık 1,Heading 1 Char"/>
    <w:basedOn w:val="Normal"/>
    <w:next w:val="Normal"/>
    <w:link w:val="1HeadingChar"/>
    <w:qFormat/>
    <w:rsid w:val="00974DA7"/>
    <w:pPr>
      <w:keepNext/>
      <w:tabs>
        <w:tab w:val="left" w:pos="567"/>
      </w:tabs>
      <w:overflowPunct w:val="0"/>
      <w:adjustRightInd w:val="0"/>
      <w:textAlignment w:val="baseline"/>
      <w:outlineLvl w:val="0"/>
    </w:pPr>
    <w:rPr>
      <w:rFonts w:eastAsia="SimSun"/>
      <w:b/>
      <w:sz w:val="28"/>
      <w:szCs w:val="24"/>
      <w:lang w:val="en-US" w:eastAsia="en-US"/>
    </w:rPr>
  </w:style>
  <w:style w:type="paragraph" w:styleId="Balk2">
    <w:name w:val="heading 2"/>
    <w:basedOn w:val="Normal"/>
    <w:next w:val="Normal"/>
    <w:qFormat/>
    <w:rsid w:val="003D7237"/>
    <w:pPr>
      <w:keepNext/>
      <w:outlineLvl w:val="1"/>
    </w:pPr>
    <w:rPr>
      <w:rFonts w:eastAsia="SimSun"/>
      <w:b/>
      <w:bCs/>
      <w:sz w:val="24"/>
      <w:szCs w:val="24"/>
    </w:rPr>
  </w:style>
  <w:style w:type="paragraph" w:styleId="Balk3">
    <w:name w:val="heading 3"/>
    <w:aliases w:val="Heading 3 Char"/>
    <w:basedOn w:val="Normal"/>
    <w:next w:val="Normal"/>
    <w:link w:val="Balk3Char"/>
    <w:qFormat/>
    <w:rsid w:val="007045DD"/>
    <w:pPr>
      <w:keepNext/>
      <w:outlineLvl w:val="2"/>
    </w:pPr>
    <w:rPr>
      <w:b/>
      <w:bCs/>
      <w:noProof w:val="0"/>
      <w:sz w:val="22"/>
      <w:szCs w:val="22"/>
      <w:lang w:val="x-none" w:eastAsia="x-none"/>
    </w:rPr>
  </w:style>
  <w:style w:type="paragraph" w:styleId="Balk4">
    <w:name w:val="heading 4"/>
    <w:basedOn w:val="Normal"/>
    <w:next w:val="Normal"/>
    <w:qFormat/>
    <w:rsid w:val="007130AF"/>
    <w:pPr>
      <w:keepNext/>
      <w:spacing w:before="240" w:after="60"/>
      <w:outlineLvl w:val="3"/>
    </w:pPr>
    <w:rPr>
      <w:rFonts w:ascii="Times New Roman" w:hAnsi="Times New Roman"/>
      <w:b/>
      <w:bCs/>
      <w:sz w:val="28"/>
      <w:szCs w:val="28"/>
    </w:rPr>
  </w:style>
  <w:style w:type="paragraph" w:styleId="Balk5">
    <w:name w:val="heading 5"/>
    <w:basedOn w:val="Normal"/>
    <w:next w:val="Normal"/>
    <w:qFormat/>
    <w:rsid w:val="007130AF"/>
    <w:pPr>
      <w:spacing w:before="240" w:after="60"/>
      <w:outlineLvl w:val="4"/>
    </w:pPr>
    <w:rPr>
      <w:b/>
      <w:bCs/>
      <w:i/>
      <w:iCs/>
      <w:sz w:val="26"/>
      <w:szCs w:val="26"/>
    </w:rPr>
  </w:style>
  <w:style w:type="paragraph" w:styleId="Balk7">
    <w:name w:val="heading 7"/>
    <w:basedOn w:val="Normal"/>
    <w:next w:val="Normal"/>
    <w:qFormat/>
    <w:rsid w:val="009B68A2"/>
    <w:pPr>
      <w:keepNext/>
      <w:outlineLvl w:val="6"/>
    </w:pPr>
    <w:rPr>
      <w:rFonts w:cs="Arial"/>
      <w:b/>
      <w:bCs/>
      <w:sz w:val="22"/>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T1">
    <w:name w:val="toc 1"/>
    <w:basedOn w:val="Normal"/>
    <w:next w:val="Normal"/>
    <w:semiHidden/>
    <w:rsid w:val="00E1553B"/>
    <w:pPr>
      <w:tabs>
        <w:tab w:val="left" w:pos="567"/>
        <w:tab w:val="right" w:leader="dot" w:pos="9628"/>
      </w:tabs>
      <w:spacing w:before="60" w:after="60"/>
      <w:jc w:val="left"/>
    </w:pPr>
    <w:rPr>
      <w:b/>
      <w:lang w:val="en-AU"/>
    </w:rPr>
  </w:style>
  <w:style w:type="paragraph" w:styleId="T2">
    <w:name w:val="toc 2"/>
    <w:basedOn w:val="Normal"/>
    <w:next w:val="Normal"/>
    <w:semiHidden/>
    <w:rsid w:val="00D75AC8"/>
    <w:pPr>
      <w:tabs>
        <w:tab w:val="left" w:pos="567"/>
        <w:tab w:val="right" w:leader="dot" w:pos="9628"/>
      </w:tabs>
      <w:ind w:left="198"/>
    </w:pPr>
    <w:rPr>
      <w:rFonts w:eastAsia="SimSun" w:cs="Arial"/>
      <w:szCs w:val="28"/>
      <w:lang w:val="en-AU"/>
    </w:rPr>
  </w:style>
  <w:style w:type="paragraph" w:styleId="T3">
    <w:name w:val="toc 3"/>
    <w:basedOn w:val="Normal"/>
    <w:next w:val="Normal"/>
    <w:semiHidden/>
    <w:rsid w:val="00484AA9"/>
    <w:pPr>
      <w:tabs>
        <w:tab w:val="right" w:leader="dot" w:pos="567"/>
      </w:tabs>
      <w:ind w:left="403"/>
    </w:pPr>
    <w:rPr>
      <w:rFonts w:eastAsia="SimSun" w:cs="Arial"/>
      <w:bCs/>
      <w:snapToGrid w:val="0"/>
      <w:kern w:val="20"/>
      <w:szCs w:val="28"/>
      <w:lang w:val="en-AU"/>
    </w:rPr>
  </w:style>
  <w:style w:type="paragraph" w:styleId="T4">
    <w:name w:val="toc 4"/>
    <w:basedOn w:val="Normal"/>
    <w:next w:val="Normal"/>
    <w:semiHidden/>
    <w:rsid w:val="00C70674"/>
    <w:pPr>
      <w:ind w:left="600"/>
      <w:jc w:val="left"/>
    </w:pPr>
  </w:style>
  <w:style w:type="paragraph" w:styleId="T5">
    <w:name w:val="toc 5"/>
    <w:basedOn w:val="Normal"/>
    <w:next w:val="Normal"/>
    <w:semiHidden/>
    <w:rsid w:val="00C70674"/>
    <w:pPr>
      <w:ind w:left="800"/>
      <w:jc w:val="left"/>
    </w:pPr>
  </w:style>
  <w:style w:type="paragraph" w:styleId="T9">
    <w:name w:val="toc 9"/>
    <w:basedOn w:val="Normal"/>
    <w:next w:val="Normal"/>
    <w:semiHidden/>
    <w:rsid w:val="00C70674"/>
    <w:pPr>
      <w:ind w:left="1600"/>
      <w:jc w:val="left"/>
    </w:pPr>
  </w:style>
  <w:style w:type="paragraph" w:styleId="T8">
    <w:name w:val="toc 8"/>
    <w:basedOn w:val="Normal"/>
    <w:next w:val="Normal"/>
    <w:semiHidden/>
    <w:rsid w:val="00C70674"/>
    <w:pPr>
      <w:ind w:left="1400"/>
      <w:jc w:val="left"/>
    </w:pPr>
  </w:style>
  <w:style w:type="paragraph" w:styleId="T7">
    <w:name w:val="toc 7"/>
    <w:basedOn w:val="Normal"/>
    <w:next w:val="Normal"/>
    <w:semiHidden/>
    <w:rsid w:val="00C70674"/>
    <w:pPr>
      <w:ind w:left="1200"/>
      <w:jc w:val="left"/>
    </w:pPr>
  </w:style>
  <w:style w:type="paragraph" w:styleId="T6">
    <w:name w:val="toc 6"/>
    <w:basedOn w:val="Normal"/>
    <w:next w:val="Normal"/>
    <w:semiHidden/>
    <w:rsid w:val="00C70674"/>
    <w:pPr>
      <w:ind w:left="1000"/>
      <w:jc w:val="left"/>
    </w:pPr>
  </w:style>
  <w:style w:type="paragraph" w:customStyle="1" w:styleId="StyleHeading1Characterscale84">
    <w:name w:val="Style Heading 1 + Character scale: 84%"/>
    <w:basedOn w:val="Balk1"/>
    <w:next w:val="Balk1"/>
    <w:rsid w:val="00191B57"/>
    <w:rPr>
      <w:w w:val="84"/>
    </w:rPr>
  </w:style>
  <w:style w:type="paragraph" w:customStyle="1" w:styleId="Style1">
    <w:name w:val="Style1"/>
    <w:basedOn w:val="Balk2"/>
    <w:next w:val="T2"/>
    <w:rsid w:val="00A4064C"/>
    <w:pPr>
      <w:tabs>
        <w:tab w:val="left" w:pos="567"/>
      </w:tabs>
    </w:pPr>
  </w:style>
  <w:style w:type="paragraph" w:customStyle="1" w:styleId="StyleHeading3">
    <w:name w:val="Style Heading 3"/>
    <w:aliases w:val="Başlık 3 Char1 + (Latin) 10 pt"/>
    <w:basedOn w:val="Balk3"/>
    <w:rsid w:val="00555F7C"/>
  </w:style>
  <w:style w:type="paragraph" w:styleId="Altbilgi">
    <w:name w:val="footer"/>
    <w:basedOn w:val="Normal"/>
    <w:rsid w:val="006D567A"/>
    <w:pPr>
      <w:tabs>
        <w:tab w:val="center" w:pos="4536"/>
        <w:tab w:val="right" w:pos="9072"/>
      </w:tabs>
    </w:pPr>
    <w:rPr>
      <w:szCs w:val="24"/>
    </w:rPr>
  </w:style>
  <w:style w:type="paragraph" w:styleId="stbilgi">
    <w:name w:val="header"/>
    <w:basedOn w:val="Normal"/>
    <w:rsid w:val="006D567A"/>
    <w:pPr>
      <w:tabs>
        <w:tab w:val="center" w:pos="4536"/>
        <w:tab w:val="right" w:pos="9072"/>
      </w:tabs>
    </w:pPr>
    <w:rPr>
      <w:szCs w:val="24"/>
    </w:rPr>
  </w:style>
  <w:style w:type="paragraph" w:styleId="NormalWeb">
    <w:name w:val="Normal (Web)"/>
    <w:basedOn w:val="Normal"/>
    <w:rsid w:val="00E56FD6"/>
    <w:rPr>
      <w:szCs w:val="24"/>
    </w:rPr>
  </w:style>
  <w:style w:type="paragraph" w:customStyle="1" w:styleId="StyleHeading2Left">
    <w:name w:val="Style Heading 2 + Left"/>
    <w:basedOn w:val="Balk2"/>
    <w:rsid w:val="00F04400"/>
    <w:pPr>
      <w:widowControl w:val="0"/>
      <w:autoSpaceDE w:val="0"/>
      <w:autoSpaceDN w:val="0"/>
      <w:adjustRightInd w:val="0"/>
      <w:jc w:val="left"/>
    </w:pPr>
    <w:rPr>
      <w:szCs w:val="28"/>
    </w:rPr>
  </w:style>
  <w:style w:type="paragraph" w:customStyle="1" w:styleId="StyleComplex10ptLatinBoldCentered">
    <w:name w:val="Style (Complex) 10 pt (Latin) Bold Centered"/>
    <w:basedOn w:val="Normal"/>
    <w:next w:val="Normal"/>
    <w:rsid w:val="0015407B"/>
    <w:pPr>
      <w:jc w:val="center"/>
    </w:pPr>
    <w:rPr>
      <w:b/>
    </w:rPr>
  </w:style>
  <w:style w:type="paragraph" w:customStyle="1" w:styleId="Style2">
    <w:name w:val="Style2"/>
    <w:basedOn w:val="Normal"/>
    <w:rsid w:val="005E7B48"/>
  </w:style>
  <w:style w:type="paragraph" w:customStyle="1" w:styleId="StyleStil5CharJustified">
    <w:name w:val="Style Stil5 Char + Justified"/>
    <w:basedOn w:val="Normal"/>
    <w:next w:val="Normal"/>
    <w:rsid w:val="00132BAE"/>
    <w:rPr>
      <w:szCs w:val="24"/>
    </w:rPr>
  </w:style>
  <w:style w:type="paragraph" w:customStyle="1" w:styleId="StyleStil5CharBoldJustified">
    <w:name w:val="Style Stil5 Char + Bold Justified"/>
    <w:basedOn w:val="Normal"/>
    <w:next w:val="Normal"/>
    <w:rsid w:val="00132BAE"/>
    <w:rPr>
      <w:bCs/>
      <w:szCs w:val="24"/>
    </w:rPr>
  </w:style>
  <w:style w:type="paragraph" w:customStyle="1" w:styleId="StyleHeading1">
    <w:name w:val="Style Heading 1"/>
    <w:aliases w:val="Başlık 1 Char + Arial"/>
    <w:basedOn w:val="Normal"/>
    <w:rsid w:val="00132BAE"/>
    <w:pPr>
      <w:jc w:val="left"/>
    </w:pPr>
    <w:rPr>
      <w:szCs w:val="24"/>
    </w:rPr>
  </w:style>
  <w:style w:type="paragraph" w:customStyle="1" w:styleId="StyleStyle2Justified">
    <w:name w:val="Style Style2 + Justified"/>
    <w:basedOn w:val="Normal"/>
    <w:next w:val="Normal"/>
    <w:rsid w:val="00132BAE"/>
  </w:style>
  <w:style w:type="paragraph" w:customStyle="1" w:styleId="StyleStyle2Centered">
    <w:name w:val="Style Style2 + Centered"/>
    <w:basedOn w:val="Normal"/>
    <w:next w:val="Normal"/>
    <w:rsid w:val="00132BAE"/>
    <w:pPr>
      <w:jc w:val="center"/>
    </w:pPr>
  </w:style>
  <w:style w:type="paragraph" w:customStyle="1" w:styleId="StyleStyle2BoldJustified">
    <w:name w:val="Style Style2 + Bold Justified"/>
    <w:basedOn w:val="Normal"/>
    <w:next w:val="Normal"/>
    <w:rsid w:val="00132BAE"/>
    <w:rPr>
      <w:b/>
      <w:bCs/>
    </w:rPr>
  </w:style>
  <w:style w:type="character" w:customStyle="1" w:styleId="Balk3Char">
    <w:name w:val="Başlık 3 Char"/>
    <w:aliases w:val="Heading 3 Char Char"/>
    <w:link w:val="Balk3"/>
    <w:rsid w:val="007045DD"/>
    <w:rPr>
      <w:rFonts w:ascii="Arial" w:hAnsi="Arial" w:cs="Arial"/>
      <w:b/>
      <w:bCs/>
      <w:sz w:val="22"/>
      <w:szCs w:val="22"/>
    </w:rPr>
  </w:style>
  <w:style w:type="paragraph" w:customStyle="1" w:styleId="StyleHeading2Arial">
    <w:name w:val="Style Heading 2 + Arial"/>
    <w:basedOn w:val="Balk2"/>
    <w:rsid w:val="00C271D7"/>
    <w:rPr>
      <w:bCs w:val="0"/>
    </w:rPr>
  </w:style>
  <w:style w:type="paragraph" w:customStyle="1" w:styleId="StyleHeading211pt">
    <w:name w:val="Style Heading 2 + 11 pt"/>
    <w:basedOn w:val="Balk2"/>
    <w:rsid w:val="003F6E09"/>
    <w:rPr>
      <w:bCs w:val="0"/>
    </w:rPr>
  </w:style>
  <w:style w:type="paragraph" w:customStyle="1" w:styleId="StyleHeading2Expandedby05pt">
    <w:name w:val="Style Heading 2 + Expanded by  05 pt"/>
    <w:basedOn w:val="Balk2"/>
    <w:rsid w:val="002E27FD"/>
    <w:pPr>
      <w:spacing w:before="240" w:after="60"/>
    </w:pPr>
    <w:rPr>
      <w:rFonts w:eastAsia="Times New Roman" w:cs="Arial"/>
      <w:bCs w:val="0"/>
      <w:iCs/>
      <w:color w:val="000000"/>
      <w:spacing w:val="10"/>
      <w:szCs w:val="28"/>
    </w:rPr>
  </w:style>
  <w:style w:type="paragraph" w:customStyle="1" w:styleId="StyleHeading2">
    <w:name w:val="Style Heading 2"/>
    <w:aliases w:val="Başlık 2 Char + Arial"/>
    <w:basedOn w:val="Balk2"/>
    <w:rsid w:val="00645CF9"/>
    <w:rPr>
      <w:bCs w:val="0"/>
    </w:rPr>
  </w:style>
  <w:style w:type="paragraph" w:customStyle="1" w:styleId="StyleHeading212ptJustifiedLeft0cm">
    <w:name w:val="Style Heading 2 + 12 pt Justified Left:  0 cm"/>
    <w:basedOn w:val="Balk2"/>
    <w:rsid w:val="0019077F"/>
    <w:pPr>
      <w:ind w:right="506"/>
    </w:pPr>
    <w:rPr>
      <w:szCs w:val="20"/>
    </w:rPr>
  </w:style>
  <w:style w:type="paragraph" w:customStyle="1" w:styleId="Style">
    <w:name w:val="Style"/>
    <w:basedOn w:val="Normal"/>
    <w:rsid w:val="00A16B7E"/>
    <w:pPr>
      <w:spacing w:line="200" w:lineRule="exact"/>
    </w:pPr>
    <w:rPr>
      <w:lang w:eastAsia="zh-CN"/>
    </w:rPr>
  </w:style>
  <w:style w:type="paragraph" w:customStyle="1" w:styleId="StyleHeading3BlackAfter0pt">
    <w:name w:val="Style Heading 3 + Black After:  0 pt"/>
    <w:basedOn w:val="Balk3"/>
    <w:rsid w:val="00D16B56"/>
    <w:pPr>
      <w:tabs>
        <w:tab w:val="left" w:pos="340"/>
        <w:tab w:val="left" w:pos="680"/>
      </w:tabs>
    </w:pPr>
    <w:rPr>
      <w:color w:val="000000"/>
      <w:szCs w:val="20"/>
      <w:lang w:val="en-AU" w:eastAsia="zh-CN"/>
    </w:rPr>
  </w:style>
  <w:style w:type="character" w:customStyle="1" w:styleId="StyleArial14ptBold">
    <w:name w:val="Style Arial 14 pt Bold"/>
    <w:rsid w:val="00D13A1C"/>
    <w:rPr>
      <w:rFonts w:ascii="Arial" w:hAnsi="Arial"/>
      <w:b/>
      <w:bCs/>
      <w:sz w:val="28"/>
    </w:rPr>
  </w:style>
  <w:style w:type="paragraph" w:customStyle="1" w:styleId="StyleHeading212pt">
    <w:name w:val="Style Heading 2 + 12 pt"/>
    <w:basedOn w:val="Balk2"/>
    <w:rsid w:val="003F6E09"/>
    <w:pPr>
      <w:jc w:val="left"/>
    </w:pPr>
    <w:rPr>
      <w:bCs w:val="0"/>
    </w:rPr>
  </w:style>
  <w:style w:type="paragraph" w:customStyle="1" w:styleId="StyleHeading311ptJustifiedBefore12ptAfter3pt">
    <w:name w:val="Style Heading 3 + 11 pt Justified Before:  12 pt After:  3 pt"/>
    <w:basedOn w:val="Balk3"/>
    <w:rsid w:val="00955EB8"/>
    <w:rPr>
      <w:szCs w:val="20"/>
      <w:lang w:val="en-US"/>
    </w:rPr>
  </w:style>
  <w:style w:type="paragraph" w:customStyle="1" w:styleId="StyleHeading2Black">
    <w:name w:val="Style Heading 2 + Black"/>
    <w:basedOn w:val="Balk2"/>
    <w:rsid w:val="00496A9E"/>
    <w:rPr>
      <w:bCs w:val="0"/>
      <w:color w:val="000000"/>
    </w:rPr>
  </w:style>
  <w:style w:type="paragraph" w:customStyle="1" w:styleId="StyleArial14ptBoldJustified">
    <w:name w:val="Style Arial 14 pt Bold Justified"/>
    <w:basedOn w:val="Normal"/>
    <w:rsid w:val="00191B57"/>
    <w:rPr>
      <w:b/>
      <w:bCs/>
      <w:sz w:val="28"/>
      <w:lang w:val="en-US" w:eastAsia="en-US"/>
    </w:rPr>
  </w:style>
  <w:style w:type="paragraph" w:customStyle="1" w:styleId="Style14ptBoldCentered">
    <w:name w:val="Style 14 pt Bold Centered"/>
    <w:basedOn w:val="Normal"/>
    <w:rsid w:val="008B27D0"/>
    <w:pPr>
      <w:jc w:val="center"/>
    </w:pPr>
    <w:rPr>
      <w:b/>
      <w:bCs/>
    </w:rPr>
  </w:style>
  <w:style w:type="paragraph" w:customStyle="1" w:styleId="StyleHeading211pt1">
    <w:name w:val="Style Heading 2 + 11 pt1"/>
    <w:basedOn w:val="Balk2"/>
    <w:rsid w:val="00C87551"/>
    <w:rPr>
      <w:bCs w:val="0"/>
      <w:sz w:val="22"/>
    </w:rPr>
  </w:style>
  <w:style w:type="paragraph" w:customStyle="1" w:styleId="StyleHeading211pt2">
    <w:name w:val="Style Heading 2 + 11 pt2"/>
    <w:basedOn w:val="Balk2"/>
    <w:rsid w:val="002773BC"/>
    <w:rPr>
      <w:bCs w:val="0"/>
    </w:rPr>
  </w:style>
  <w:style w:type="paragraph" w:customStyle="1" w:styleId="StyleHeading2Italic">
    <w:name w:val="Style Heading 2 + Italic"/>
    <w:basedOn w:val="Balk2"/>
    <w:rsid w:val="006B48C5"/>
    <w:rPr>
      <w:bCs w:val="0"/>
      <w:iCs/>
    </w:rPr>
  </w:style>
  <w:style w:type="paragraph" w:customStyle="1" w:styleId="StyleBoldJustified">
    <w:name w:val="Style Bold Justified"/>
    <w:basedOn w:val="Normal"/>
    <w:rsid w:val="00534E8B"/>
  </w:style>
  <w:style w:type="character" w:customStyle="1" w:styleId="StyleBold">
    <w:name w:val="Style Bold"/>
    <w:basedOn w:val="VarsaylanParagrafYazTipi"/>
    <w:rsid w:val="00534E8B"/>
  </w:style>
  <w:style w:type="paragraph" w:styleId="GvdeMetni">
    <w:name w:val="Body Text"/>
    <w:basedOn w:val="Normal"/>
    <w:rsid w:val="007130AF"/>
    <w:rPr>
      <w:b/>
    </w:rPr>
  </w:style>
  <w:style w:type="paragraph" w:styleId="BalonMetni">
    <w:name w:val="Balloon Text"/>
    <w:basedOn w:val="Normal"/>
    <w:semiHidden/>
    <w:rsid w:val="005F74F5"/>
    <w:rPr>
      <w:rFonts w:ascii="Tahoma" w:hAnsi="Tahoma" w:cs="Tahoma"/>
      <w:sz w:val="16"/>
      <w:szCs w:val="16"/>
    </w:rPr>
  </w:style>
  <w:style w:type="table" w:styleId="TabloKlavuzu">
    <w:name w:val="Table Grid"/>
    <w:basedOn w:val="NormalTablo"/>
    <w:rsid w:val="005D69F5"/>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pr">
    <w:name w:val="Hyperlink"/>
    <w:rsid w:val="00081544"/>
    <w:rPr>
      <w:strike w:val="0"/>
      <w:dstrike w:val="0"/>
      <w:color w:val="0000FF"/>
      <w:u w:val="none"/>
      <w:effect w:val="none"/>
    </w:rPr>
  </w:style>
  <w:style w:type="character" w:customStyle="1" w:styleId="1HeadingChar">
    <w:name w:val="1 Heading Char"/>
    <w:aliases w:val="baslık 1 Char,Heading 1 Char Char"/>
    <w:link w:val="Balk1"/>
    <w:rsid w:val="007045DD"/>
    <w:rPr>
      <w:rFonts w:ascii="Arial" w:eastAsia="SimSun" w:hAnsi="Arial"/>
      <w:b/>
      <w:noProof/>
      <w:sz w:val="28"/>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158631">
      <w:bodyDiv w:val="1"/>
      <w:marLeft w:val="0"/>
      <w:marRight w:val="0"/>
      <w:marTop w:val="0"/>
      <w:marBottom w:val="0"/>
      <w:divBdr>
        <w:top w:val="none" w:sz="0" w:space="0" w:color="auto"/>
        <w:left w:val="none" w:sz="0" w:space="0" w:color="auto"/>
        <w:bottom w:val="none" w:sz="0" w:space="0" w:color="auto"/>
        <w:right w:val="none" w:sz="0" w:space="0" w:color="auto"/>
      </w:divBdr>
    </w:div>
    <w:div w:id="60834001">
      <w:bodyDiv w:val="1"/>
      <w:marLeft w:val="0"/>
      <w:marRight w:val="0"/>
      <w:marTop w:val="0"/>
      <w:marBottom w:val="0"/>
      <w:divBdr>
        <w:top w:val="none" w:sz="0" w:space="0" w:color="auto"/>
        <w:left w:val="none" w:sz="0" w:space="0" w:color="auto"/>
        <w:bottom w:val="none" w:sz="0" w:space="0" w:color="auto"/>
        <w:right w:val="none" w:sz="0" w:space="0" w:color="auto"/>
      </w:divBdr>
    </w:div>
    <w:div w:id="69544656">
      <w:bodyDiv w:val="1"/>
      <w:marLeft w:val="0"/>
      <w:marRight w:val="0"/>
      <w:marTop w:val="0"/>
      <w:marBottom w:val="0"/>
      <w:divBdr>
        <w:top w:val="none" w:sz="0" w:space="0" w:color="auto"/>
        <w:left w:val="none" w:sz="0" w:space="0" w:color="auto"/>
        <w:bottom w:val="none" w:sz="0" w:space="0" w:color="auto"/>
        <w:right w:val="none" w:sz="0" w:space="0" w:color="auto"/>
      </w:divBdr>
    </w:div>
    <w:div w:id="243103216">
      <w:bodyDiv w:val="1"/>
      <w:marLeft w:val="0"/>
      <w:marRight w:val="0"/>
      <w:marTop w:val="0"/>
      <w:marBottom w:val="0"/>
      <w:divBdr>
        <w:top w:val="none" w:sz="0" w:space="0" w:color="auto"/>
        <w:left w:val="none" w:sz="0" w:space="0" w:color="auto"/>
        <w:bottom w:val="none" w:sz="0" w:space="0" w:color="auto"/>
        <w:right w:val="none" w:sz="0" w:space="0" w:color="auto"/>
      </w:divBdr>
    </w:div>
    <w:div w:id="255940522">
      <w:bodyDiv w:val="1"/>
      <w:marLeft w:val="0"/>
      <w:marRight w:val="0"/>
      <w:marTop w:val="0"/>
      <w:marBottom w:val="0"/>
      <w:divBdr>
        <w:top w:val="none" w:sz="0" w:space="0" w:color="auto"/>
        <w:left w:val="none" w:sz="0" w:space="0" w:color="auto"/>
        <w:bottom w:val="none" w:sz="0" w:space="0" w:color="auto"/>
        <w:right w:val="none" w:sz="0" w:space="0" w:color="auto"/>
      </w:divBdr>
    </w:div>
    <w:div w:id="258687408">
      <w:bodyDiv w:val="1"/>
      <w:marLeft w:val="0"/>
      <w:marRight w:val="0"/>
      <w:marTop w:val="0"/>
      <w:marBottom w:val="0"/>
      <w:divBdr>
        <w:top w:val="none" w:sz="0" w:space="0" w:color="auto"/>
        <w:left w:val="none" w:sz="0" w:space="0" w:color="auto"/>
        <w:bottom w:val="none" w:sz="0" w:space="0" w:color="auto"/>
        <w:right w:val="none" w:sz="0" w:space="0" w:color="auto"/>
      </w:divBdr>
    </w:div>
    <w:div w:id="345522259">
      <w:bodyDiv w:val="1"/>
      <w:marLeft w:val="0"/>
      <w:marRight w:val="0"/>
      <w:marTop w:val="0"/>
      <w:marBottom w:val="0"/>
      <w:divBdr>
        <w:top w:val="none" w:sz="0" w:space="0" w:color="auto"/>
        <w:left w:val="none" w:sz="0" w:space="0" w:color="auto"/>
        <w:bottom w:val="none" w:sz="0" w:space="0" w:color="auto"/>
        <w:right w:val="none" w:sz="0" w:space="0" w:color="auto"/>
      </w:divBdr>
    </w:div>
    <w:div w:id="581258636">
      <w:bodyDiv w:val="1"/>
      <w:marLeft w:val="0"/>
      <w:marRight w:val="0"/>
      <w:marTop w:val="0"/>
      <w:marBottom w:val="0"/>
      <w:divBdr>
        <w:top w:val="none" w:sz="0" w:space="0" w:color="auto"/>
        <w:left w:val="none" w:sz="0" w:space="0" w:color="auto"/>
        <w:bottom w:val="none" w:sz="0" w:space="0" w:color="auto"/>
        <w:right w:val="none" w:sz="0" w:space="0" w:color="auto"/>
      </w:divBdr>
    </w:div>
    <w:div w:id="730006453">
      <w:bodyDiv w:val="1"/>
      <w:marLeft w:val="0"/>
      <w:marRight w:val="0"/>
      <w:marTop w:val="0"/>
      <w:marBottom w:val="0"/>
      <w:divBdr>
        <w:top w:val="none" w:sz="0" w:space="0" w:color="auto"/>
        <w:left w:val="none" w:sz="0" w:space="0" w:color="auto"/>
        <w:bottom w:val="none" w:sz="0" w:space="0" w:color="auto"/>
        <w:right w:val="none" w:sz="0" w:space="0" w:color="auto"/>
      </w:divBdr>
    </w:div>
    <w:div w:id="1063598598">
      <w:bodyDiv w:val="1"/>
      <w:marLeft w:val="0"/>
      <w:marRight w:val="0"/>
      <w:marTop w:val="0"/>
      <w:marBottom w:val="0"/>
      <w:divBdr>
        <w:top w:val="none" w:sz="0" w:space="0" w:color="auto"/>
        <w:left w:val="none" w:sz="0" w:space="0" w:color="auto"/>
        <w:bottom w:val="none" w:sz="0" w:space="0" w:color="auto"/>
        <w:right w:val="none" w:sz="0" w:space="0" w:color="auto"/>
      </w:divBdr>
    </w:div>
    <w:div w:id="1079985460">
      <w:bodyDiv w:val="1"/>
      <w:marLeft w:val="0"/>
      <w:marRight w:val="0"/>
      <w:marTop w:val="0"/>
      <w:marBottom w:val="0"/>
      <w:divBdr>
        <w:top w:val="none" w:sz="0" w:space="0" w:color="auto"/>
        <w:left w:val="none" w:sz="0" w:space="0" w:color="auto"/>
        <w:bottom w:val="none" w:sz="0" w:space="0" w:color="auto"/>
        <w:right w:val="none" w:sz="0" w:space="0" w:color="auto"/>
      </w:divBdr>
    </w:div>
    <w:div w:id="1488521928">
      <w:bodyDiv w:val="1"/>
      <w:marLeft w:val="0"/>
      <w:marRight w:val="0"/>
      <w:marTop w:val="0"/>
      <w:marBottom w:val="0"/>
      <w:divBdr>
        <w:top w:val="none" w:sz="0" w:space="0" w:color="auto"/>
        <w:left w:val="none" w:sz="0" w:space="0" w:color="auto"/>
        <w:bottom w:val="none" w:sz="0" w:space="0" w:color="auto"/>
        <w:right w:val="none" w:sz="0" w:space="0" w:color="auto"/>
      </w:divBdr>
    </w:div>
    <w:div w:id="1744715770">
      <w:bodyDiv w:val="1"/>
      <w:marLeft w:val="0"/>
      <w:marRight w:val="0"/>
      <w:marTop w:val="0"/>
      <w:marBottom w:val="0"/>
      <w:divBdr>
        <w:top w:val="none" w:sz="0" w:space="0" w:color="auto"/>
        <w:left w:val="none" w:sz="0" w:space="0" w:color="auto"/>
        <w:bottom w:val="none" w:sz="0" w:space="0" w:color="auto"/>
        <w:right w:val="none" w:sz="0" w:space="0" w:color="auto"/>
      </w:divBdr>
    </w:div>
    <w:div w:id="176056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68F676-2D8E-4249-96B2-86D04C6AA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845</Words>
  <Characters>4819</Characters>
  <Application>Microsoft Office Word</Application>
  <DocSecurity>4</DocSecurity>
  <Lines>40</Lines>
  <Paragraphs>11</Paragraphs>
  <ScaleCrop>false</ScaleCrop>
  <HeadingPairs>
    <vt:vector size="2" baseType="variant">
      <vt:variant>
        <vt:lpstr>Konu Başlığı</vt:lpstr>
      </vt:variant>
      <vt:variant>
        <vt:i4>1</vt:i4>
      </vt:variant>
    </vt:vector>
  </HeadingPairs>
  <TitlesOfParts>
    <vt:vector size="1" baseType="lpstr">
      <vt:lpstr> </vt:lpstr>
    </vt:vector>
  </TitlesOfParts>
  <Company>tse</Company>
  <LinksUpToDate>false</LinksUpToDate>
  <CharactersWithSpaces>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ayinilmez</dc:creator>
  <cp:keywords/>
  <cp:lastModifiedBy>Aslı ERZURUMDAĞ</cp:lastModifiedBy>
  <cp:revision>2</cp:revision>
  <cp:lastPrinted>2016-01-23T09:35:00Z</cp:lastPrinted>
  <dcterms:created xsi:type="dcterms:W3CDTF">2016-01-25T13:23:00Z</dcterms:created>
  <dcterms:modified xsi:type="dcterms:W3CDTF">2016-01-25T13:23:00Z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1877651230</vt:i4>
  </property>
  <property fmtid="{D5CDD505-2E9C-101B-9397-08002B2CF9AE}" pid="3" name="_EmailSubject">
    <vt:lpwstr>TS_1466_tst_T1_73785.doc</vt:lpwstr>
  </property>
  <property fmtid="{D5CDD505-2E9C-101B-9397-08002B2CF9AE}" pid="4" name="_AuthorEmail">
    <vt:lpwstr>ziraat.hg@tse.org.tr</vt:lpwstr>
  </property>
  <property fmtid="{D5CDD505-2E9C-101B-9397-08002B2CF9AE}" pid="5" name="_AuthorEmailDisplayName">
    <vt:lpwstr>TSE-Ziraat İhtisas Grubu</vt:lpwstr>
  </property>
  <property fmtid="{D5CDD505-2E9C-101B-9397-08002B2CF9AE}" pid="6" name="_ReviewingToolsShownOnce">
    <vt:lpwstr/>
  </property>
</Properties>
</file>